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C9245" w14:textId="000B14E9" w:rsidR="002244FB" w:rsidRPr="005A5862" w:rsidRDefault="00423D39" w:rsidP="002244F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#129</w:t>
      </w:r>
      <w:r w:rsidR="002244FB" w:rsidRPr="005A5862">
        <w:rPr>
          <w:bCs/>
          <w:noProof w:val="0"/>
          <w:sz w:val="24"/>
          <w:szCs w:val="24"/>
        </w:rPr>
        <w:tab/>
      </w:r>
      <w:r w:rsidR="002244FB" w:rsidRPr="005A5862" w:rsidDel="00693B8E">
        <w:rPr>
          <w:bCs/>
          <w:noProof w:val="0"/>
          <w:sz w:val="24"/>
          <w:szCs w:val="24"/>
        </w:rPr>
        <w:t>R2-</w:t>
      </w:r>
      <w:r w:rsidR="00FA3FC4" w:rsidRPr="00FA3FC4">
        <w:rPr>
          <w:bCs/>
          <w:noProof w:val="0"/>
          <w:sz w:val="24"/>
          <w:szCs w:val="24"/>
        </w:rPr>
        <w:t>2500727</w:t>
      </w:r>
    </w:p>
    <w:p w14:paraId="17342C5F" w14:textId="3A52C734" w:rsidR="002244FB" w:rsidRPr="0058646B" w:rsidRDefault="00DA0FD8" w:rsidP="002244FB">
      <w:pPr>
        <w:pStyle w:val="Header"/>
        <w:tabs>
          <w:tab w:val="right" w:pos="9641"/>
        </w:tabs>
        <w:rPr>
          <w:rFonts w:eastAsia="SimSun"/>
          <w:bCs/>
          <w:sz w:val="24"/>
          <w:szCs w:val="24"/>
          <w:lang w:val="en-US" w:eastAsia="zh-CN"/>
        </w:rPr>
      </w:pPr>
      <w:r>
        <w:rPr>
          <w:rFonts w:eastAsia="SimSun"/>
          <w:bCs/>
          <w:sz w:val="24"/>
          <w:szCs w:val="24"/>
          <w:lang w:eastAsia="zh-CN"/>
        </w:rPr>
        <w:t>Athens, Greece</w:t>
      </w:r>
      <w:r w:rsidRPr="00A320DA">
        <w:rPr>
          <w:rFonts w:eastAsia="SimSun"/>
          <w:bCs/>
          <w:sz w:val="24"/>
          <w:szCs w:val="24"/>
          <w:lang w:eastAsia="zh-CN"/>
        </w:rPr>
        <w:t xml:space="preserve">, </w:t>
      </w:r>
      <w:r>
        <w:rPr>
          <w:rFonts w:eastAsia="SimSun"/>
          <w:bCs/>
          <w:sz w:val="24"/>
          <w:szCs w:val="24"/>
          <w:lang w:eastAsia="zh-CN"/>
        </w:rPr>
        <w:t>17</w:t>
      </w:r>
      <w:r w:rsidRPr="00BC6E74">
        <w:rPr>
          <w:rFonts w:eastAsia="SimSun"/>
          <w:bCs/>
          <w:sz w:val="24"/>
          <w:szCs w:val="24"/>
          <w:vertAlign w:val="superscript"/>
          <w:lang w:eastAsia="zh-CN"/>
        </w:rPr>
        <w:t>th</w:t>
      </w:r>
      <w:r w:rsidRPr="00A320DA">
        <w:rPr>
          <w:rFonts w:eastAsia="SimSun"/>
          <w:bCs/>
          <w:sz w:val="24"/>
          <w:szCs w:val="24"/>
          <w:lang w:eastAsia="zh-CN"/>
        </w:rPr>
        <w:t xml:space="preserve"> – </w:t>
      </w:r>
      <w:r>
        <w:rPr>
          <w:rFonts w:eastAsia="SimSun"/>
          <w:bCs/>
          <w:sz w:val="24"/>
          <w:szCs w:val="24"/>
          <w:lang w:eastAsia="zh-CN"/>
        </w:rPr>
        <w:t>21</w:t>
      </w:r>
      <w:r w:rsidRPr="00CD1655">
        <w:rPr>
          <w:rFonts w:eastAsia="SimSun"/>
          <w:bCs/>
          <w:sz w:val="24"/>
          <w:szCs w:val="24"/>
          <w:vertAlign w:val="superscript"/>
          <w:lang w:eastAsia="zh-CN"/>
        </w:rPr>
        <w:t>st</w:t>
      </w:r>
      <w:r>
        <w:rPr>
          <w:rFonts w:eastAsia="SimSun"/>
          <w:bCs/>
          <w:sz w:val="24"/>
          <w:szCs w:val="24"/>
          <w:lang w:eastAsia="zh-CN"/>
        </w:rPr>
        <w:t xml:space="preserve"> of</w:t>
      </w:r>
      <w:r w:rsidRPr="00A320DA">
        <w:rPr>
          <w:rFonts w:eastAsia="SimSun"/>
          <w:bCs/>
          <w:sz w:val="24"/>
          <w:szCs w:val="24"/>
          <w:lang w:eastAsia="zh-CN"/>
        </w:rPr>
        <w:t xml:space="preserve"> </w:t>
      </w:r>
      <w:r>
        <w:rPr>
          <w:rFonts w:eastAsia="SimSun"/>
          <w:bCs/>
          <w:sz w:val="24"/>
          <w:szCs w:val="24"/>
          <w:lang w:eastAsia="zh-CN"/>
        </w:rPr>
        <w:t>February</w:t>
      </w:r>
      <w:r w:rsidRPr="00A320DA">
        <w:rPr>
          <w:rFonts w:eastAsia="SimSun"/>
          <w:bCs/>
          <w:sz w:val="24"/>
          <w:szCs w:val="24"/>
          <w:lang w:eastAsia="zh-CN"/>
        </w:rPr>
        <w:t xml:space="preserve"> 202</w:t>
      </w:r>
      <w:r>
        <w:rPr>
          <w:rFonts w:eastAsia="SimSun"/>
          <w:bCs/>
          <w:sz w:val="24"/>
          <w:szCs w:val="24"/>
          <w:lang w:eastAsia="zh-CN"/>
        </w:rPr>
        <w:t>5</w:t>
      </w:r>
      <w:r w:rsidR="002244FB" w:rsidRPr="0058646B">
        <w:rPr>
          <w:sz w:val="24"/>
          <w:lang w:val="en-US"/>
        </w:rPr>
        <w:tab/>
      </w:r>
      <w:r w:rsidR="00511664" w:rsidRPr="00511664">
        <w:rPr>
          <w:i/>
          <w:iCs/>
          <w:sz w:val="24"/>
          <w:lang w:val="en-US"/>
        </w:rPr>
        <w:t>R2-2410213</w:t>
      </w:r>
      <w:r w:rsidR="002244FB" w:rsidRPr="0058646B">
        <w:rPr>
          <w:sz w:val="24"/>
          <w:lang w:val="en-US"/>
        </w:rPr>
        <w:tab/>
      </w:r>
    </w:p>
    <w:p w14:paraId="4797010B" w14:textId="77777777" w:rsidR="002244FB" w:rsidRPr="0058646B" w:rsidRDefault="002244FB" w:rsidP="002244FB">
      <w:pPr>
        <w:pStyle w:val="Header"/>
        <w:rPr>
          <w:bCs/>
          <w:noProof w:val="0"/>
          <w:sz w:val="24"/>
          <w:lang w:val="en-US"/>
        </w:rPr>
      </w:pPr>
    </w:p>
    <w:p w14:paraId="310B92C9" w14:textId="603D8962" w:rsidR="00446C3A" w:rsidRPr="006B60F3" w:rsidRDefault="00446C3A" w:rsidP="00446C3A">
      <w:pPr>
        <w:pStyle w:val="CRCoverPage"/>
        <w:tabs>
          <w:tab w:val="left" w:pos="1985"/>
        </w:tabs>
        <w:rPr>
          <w:rFonts w:cs="Arial"/>
          <w:b/>
          <w:sz w:val="24"/>
          <w:lang w:val="pt-BR" w:eastAsia="ja-JP"/>
        </w:rPr>
      </w:pPr>
      <w:r w:rsidRPr="006B60F3">
        <w:rPr>
          <w:rFonts w:cs="Arial"/>
          <w:b/>
          <w:sz w:val="24"/>
          <w:lang w:val="pt-BR"/>
        </w:rPr>
        <w:t>Agenda item:</w:t>
      </w:r>
      <w:r w:rsidRPr="006B60F3">
        <w:rPr>
          <w:rFonts w:cs="Arial"/>
          <w:b/>
          <w:sz w:val="24"/>
          <w:lang w:val="pt-BR"/>
        </w:rPr>
        <w:tab/>
      </w:r>
      <w:r w:rsidR="00592930" w:rsidRPr="006B60F3">
        <w:rPr>
          <w:rFonts w:cs="Arial"/>
          <w:b/>
          <w:sz w:val="24"/>
          <w:lang w:val="pt-BR" w:eastAsia="ja-JP"/>
        </w:rPr>
        <w:t>8</w:t>
      </w:r>
      <w:r w:rsidRPr="006B60F3">
        <w:rPr>
          <w:rFonts w:cs="Arial"/>
          <w:b/>
          <w:sz w:val="24"/>
          <w:lang w:val="pt-BR" w:eastAsia="ja-JP"/>
        </w:rPr>
        <w:t>.</w:t>
      </w:r>
      <w:r w:rsidR="00511664">
        <w:rPr>
          <w:rFonts w:cs="Arial"/>
          <w:b/>
          <w:sz w:val="24"/>
          <w:lang w:val="pt-BR" w:eastAsia="ja-JP"/>
        </w:rPr>
        <w:t>8</w:t>
      </w:r>
      <w:r w:rsidRPr="006B60F3">
        <w:rPr>
          <w:rFonts w:cs="Arial"/>
          <w:b/>
          <w:sz w:val="24"/>
          <w:lang w:val="pt-BR" w:eastAsia="ja-JP"/>
        </w:rPr>
        <w:t>.</w:t>
      </w:r>
      <w:r w:rsidR="00511664">
        <w:rPr>
          <w:rFonts w:cs="Arial"/>
          <w:b/>
          <w:sz w:val="24"/>
          <w:lang w:val="pt-BR" w:eastAsia="ja-JP"/>
        </w:rPr>
        <w:t>2</w:t>
      </w:r>
    </w:p>
    <w:p w14:paraId="73188B46" w14:textId="3F12B31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30829">
        <w:rPr>
          <w:rFonts w:ascii="Arial" w:hAnsi="Arial" w:cs="Arial"/>
          <w:b/>
          <w:bCs/>
          <w:sz w:val="24"/>
        </w:rPr>
        <w:t xml:space="preserve">, Nokia </w:t>
      </w:r>
      <w:r w:rsidR="000F31E7">
        <w:rPr>
          <w:rFonts w:ascii="Arial" w:hAnsi="Arial" w:cs="Arial"/>
          <w:b/>
          <w:bCs/>
          <w:sz w:val="24"/>
        </w:rPr>
        <w:t>Shanghai Bell</w:t>
      </w:r>
    </w:p>
    <w:p w14:paraId="553D264F" w14:textId="75708E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1EC8">
        <w:rPr>
          <w:rFonts w:ascii="Arial" w:hAnsi="Arial" w:cs="Arial"/>
          <w:b/>
          <w:bCs/>
          <w:sz w:val="24"/>
        </w:rPr>
        <w:t>Discussion on NTN downlink coverage enhancement</w:t>
      </w:r>
    </w:p>
    <w:p w14:paraId="25F387E8" w14:textId="3BB355E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44A1" w:rsidRPr="003344A1">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F05B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80F7294" w:rsidR="00A209D6" w:rsidRPr="006E13D1" w:rsidRDefault="00A209D6" w:rsidP="00A209D6">
      <w:pPr>
        <w:pStyle w:val="Heading1"/>
      </w:pPr>
      <w:r w:rsidRPr="006E13D1">
        <w:t>1</w:t>
      </w:r>
      <w:r w:rsidRPr="006E13D1">
        <w:tab/>
      </w:r>
      <w:r>
        <w:t>Introduction</w:t>
      </w:r>
    </w:p>
    <w:p w14:paraId="239D97EB" w14:textId="14B0FBF7" w:rsidR="00A6742D" w:rsidRDefault="00F25E8F" w:rsidP="009339CB">
      <w:r>
        <w:t xml:space="preserve">In </w:t>
      </w:r>
      <w:hyperlink r:id="rId13" w:history="1">
        <w:r w:rsidR="00671EAA" w:rsidRPr="002F6C3F">
          <w:rPr>
            <w:rStyle w:val="Hyperlink"/>
          </w:rPr>
          <w:t>RAN#</w:t>
        </w:r>
        <w:r w:rsidR="003612D1" w:rsidRPr="002F6C3F">
          <w:rPr>
            <w:rStyle w:val="Hyperlink"/>
          </w:rPr>
          <w:t>106</w:t>
        </w:r>
      </w:hyperlink>
      <w:r w:rsidR="003612D1">
        <w:t xml:space="preserve"> the NR_NTN_Ph3</w:t>
      </w:r>
      <w:r w:rsidR="00851924">
        <w:t xml:space="preserve"> </w:t>
      </w:r>
      <w:r w:rsidR="003612D1">
        <w:t xml:space="preserve">WID was updated </w:t>
      </w:r>
      <w:r w:rsidR="0038307C">
        <w:t xml:space="preserve">in </w:t>
      </w:r>
      <w:hyperlink r:id="rId14" w:history="1">
        <w:r w:rsidR="0038307C" w:rsidRPr="000B6F7B">
          <w:rPr>
            <w:rStyle w:val="Hyperlink"/>
          </w:rPr>
          <w:t>RP-243300</w:t>
        </w:r>
      </w:hyperlink>
      <w:r w:rsidR="007A237C">
        <w:t xml:space="preserve"> as follows</w:t>
      </w:r>
      <w:r w:rsidR="003612D1">
        <w:t>:</w:t>
      </w:r>
    </w:p>
    <w:tbl>
      <w:tblPr>
        <w:tblStyle w:val="TableGrid"/>
        <w:tblW w:w="0" w:type="auto"/>
        <w:tblLook w:val="04A0" w:firstRow="1" w:lastRow="0" w:firstColumn="1" w:lastColumn="0" w:noHBand="0" w:noVBand="1"/>
      </w:tblPr>
      <w:tblGrid>
        <w:gridCol w:w="9631"/>
      </w:tblGrid>
      <w:tr w:rsidR="00EE2E00" w14:paraId="3AF32246" w14:textId="77777777" w:rsidTr="00EE2E00">
        <w:tc>
          <w:tcPr>
            <w:tcW w:w="9631" w:type="dxa"/>
          </w:tcPr>
          <w:p w14:paraId="41FFB678" w14:textId="77777777" w:rsidR="00EE2E00" w:rsidRPr="00EE2E00" w:rsidRDefault="00EE2E00" w:rsidP="00EE2E00">
            <w:pPr>
              <w:rPr>
                <w:bCs/>
              </w:rPr>
            </w:pPr>
            <w:r w:rsidRPr="00EE2E00">
              <w:rPr>
                <w:bCs/>
              </w:rPr>
              <w:t>The objectives of the work item are the following:</w:t>
            </w:r>
          </w:p>
          <w:p w14:paraId="0A07E700" w14:textId="77777777" w:rsidR="00EE2E00" w:rsidRPr="00EE2E00" w:rsidRDefault="00EE2E00" w:rsidP="00EE2E00">
            <w:pPr>
              <w:rPr>
                <w:bCs/>
              </w:rPr>
            </w:pPr>
          </w:p>
          <w:p w14:paraId="6C359076" w14:textId="77777777" w:rsidR="00EE2E00" w:rsidRPr="00EE2E00" w:rsidRDefault="00EE2E00" w:rsidP="00EE2E00">
            <w:pPr>
              <w:numPr>
                <w:ilvl w:val="0"/>
                <w:numId w:val="26"/>
              </w:numPr>
              <w:rPr>
                <w:lang w:val="en-US"/>
              </w:rPr>
            </w:pPr>
            <w:r w:rsidRPr="00EE2E00">
              <w:rPr>
                <w:lang w:val="en-US"/>
              </w:rPr>
              <w:t>Specify</w:t>
            </w:r>
            <w:bookmarkStart w:id="0" w:name="_Hlk153196886"/>
            <w:r w:rsidRPr="00EE2E00">
              <w:rPr>
                <w:lang w:val="en-US"/>
              </w:rPr>
              <w:t xml:space="preserve"> </w:t>
            </w:r>
            <w:bookmarkEnd w:id="0"/>
            <w:r w:rsidRPr="00EE2E00">
              <w:rPr>
                <w:lang w:val="en-US"/>
              </w:rPr>
              <w:t>downlink coverage enhancements targeting support for additional reference satellite payload parameters covering both GSO and NGSO constellations operating in FR1-NTN or FR2-NTN [RAN1, RAN2, RAN4]</w:t>
            </w:r>
          </w:p>
          <w:p w14:paraId="5DF3F82D" w14:textId="77777777" w:rsidR="00EE2E00" w:rsidRPr="00EE2E00" w:rsidRDefault="00EE2E00" w:rsidP="00EE2E00">
            <w:pPr>
              <w:numPr>
                <w:ilvl w:val="0"/>
                <w:numId w:val="27"/>
              </w:numPr>
              <w:rPr>
                <w:lang w:val="en-US"/>
              </w:rPr>
            </w:pPr>
            <w:r w:rsidRPr="00EE2E00">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384B32E" w14:textId="77777777" w:rsidR="00EE2E00" w:rsidRPr="00EE2E00" w:rsidRDefault="00EE2E00" w:rsidP="00EE2E00">
            <w:pPr>
              <w:numPr>
                <w:ilvl w:val="0"/>
                <w:numId w:val="27"/>
              </w:numPr>
            </w:pPr>
            <w:r w:rsidRPr="00EE2E00">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4DAEDF0" w14:textId="77777777" w:rsidR="00EE2E00" w:rsidRPr="00EE2E00" w:rsidRDefault="00EE2E00" w:rsidP="00EE2E00">
            <w:pPr>
              <w:numPr>
                <w:ilvl w:val="0"/>
                <w:numId w:val="27"/>
              </w:numPr>
            </w:pPr>
            <w:r w:rsidRPr="00EE2E00">
              <w:t xml:space="preserve">Specify solutions, including link level enhancements for FR1-NTN and system level enhancements for FR1-NTN and FR2-NTN, </w:t>
            </w:r>
            <w:r w:rsidRPr="00FA3FC4">
              <w:rPr>
                <w:highlight w:val="cyan"/>
              </w:rPr>
              <w:t>allowing dynamic and flexible power sharing between satellite beams or different satellite beam patterns/size (i.e. wide or narrow) across the satellite footprint.</w:t>
            </w:r>
          </w:p>
          <w:p w14:paraId="1DE6DE57" w14:textId="77777777" w:rsidR="00EE2E00" w:rsidRPr="00EE2E00" w:rsidRDefault="00EE2E00" w:rsidP="00EE2E00">
            <w:pPr>
              <w:numPr>
                <w:ilvl w:val="1"/>
                <w:numId w:val="27"/>
              </w:numPr>
            </w:pPr>
            <w:r w:rsidRPr="00EE2E00">
              <w:t>Link level enhancements are to be specified for the following channels:</w:t>
            </w:r>
          </w:p>
          <w:p w14:paraId="3CEC7464" w14:textId="77777777" w:rsidR="00EE2E00" w:rsidRPr="00EE2E00" w:rsidRDefault="00EE2E00" w:rsidP="00EE2E00">
            <w:pPr>
              <w:numPr>
                <w:ilvl w:val="2"/>
                <w:numId w:val="27"/>
              </w:numPr>
            </w:pPr>
            <w:r w:rsidRPr="00EE2E00">
              <w:t>PDCCH at least for CSS (except for Type-3) via PDCCH repetition</w:t>
            </w:r>
          </w:p>
          <w:p w14:paraId="5639F06D" w14:textId="77777777" w:rsidR="00EE2E00" w:rsidRPr="00EE2E00" w:rsidRDefault="00EE2E00" w:rsidP="00EE2E00">
            <w:pPr>
              <w:numPr>
                <w:ilvl w:val="2"/>
                <w:numId w:val="27"/>
              </w:numPr>
            </w:pPr>
            <w:r w:rsidRPr="00EE2E00">
              <w:t>PDSCH with Msg4 via PDSCH repetition</w:t>
            </w:r>
          </w:p>
          <w:p w14:paraId="07C9661C" w14:textId="77777777" w:rsidR="00EE2E00" w:rsidRPr="00EE2E00" w:rsidRDefault="00EE2E00" w:rsidP="00EE2E00">
            <w:pPr>
              <w:numPr>
                <w:ilvl w:val="2"/>
                <w:numId w:val="27"/>
              </w:numPr>
            </w:pPr>
            <w:r w:rsidRPr="00EE2E00">
              <w:t xml:space="preserve">PDSCH with SIB1 via 2 PDSCH repetitions within 20 </w:t>
            </w:r>
            <w:proofErr w:type="spellStart"/>
            <w:r w:rsidRPr="00EE2E00">
              <w:t>ms</w:t>
            </w:r>
            <w:proofErr w:type="spellEnd"/>
            <w:r w:rsidRPr="00EE2E00">
              <w:t xml:space="preserve"> duration</w:t>
            </w:r>
          </w:p>
          <w:p w14:paraId="545EF1D9" w14:textId="77777777" w:rsidR="00EE2E00" w:rsidRPr="00EE2E00" w:rsidRDefault="00EE2E00" w:rsidP="00EE2E00">
            <w:pPr>
              <w:numPr>
                <w:ilvl w:val="1"/>
                <w:numId w:val="27"/>
              </w:numPr>
            </w:pPr>
            <w:r w:rsidRPr="00EE2E00">
              <w:t>System-level enhancements are to be specified for the following:</w:t>
            </w:r>
          </w:p>
          <w:p w14:paraId="5970FC14" w14:textId="77777777" w:rsidR="00EE2E00" w:rsidRPr="00EE2E00" w:rsidRDefault="00EE2E00" w:rsidP="00EE2E00">
            <w:pPr>
              <w:numPr>
                <w:ilvl w:val="2"/>
                <w:numId w:val="27"/>
              </w:numPr>
            </w:pPr>
            <w:r w:rsidRPr="00EE2E00">
              <w:t>Support of extended periodicity of the half frames with SS/PBCH blocks assumed by UE during initial access.</w:t>
            </w:r>
          </w:p>
          <w:p w14:paraId="79384742" w14:textId="77777777" w:rsidR="00EE2E00" w:rsidRPr="00FA3FC4" w:rsidRDefault="00EE2E00" w:rsidP="00EE2E00">
            <w:pPr>
              <w:numPr>
                <w:ilvl w:val="3"/>
                <w:numId w:val="27"/>
              </w:numPr>
              <w:rPr>
                <w:highlight w:val="yellow"/>
              </w:rPr>
            </w:pPr>
            <w:r w:rsidRPr="00FA3FC4">
              <w:rPr>
                <w:highlight w:val="yellow"/>
              </w:rPr>
              <w:t xml:space="preserve">The maximum of the additional default value (apart from the existing 20ms value) is 160 </w:t>
            </w:r>
            <w:proofErr w:type="spellStart"/>
            <w:r w:rsidRPr="00FA3FC4">
              <w:rPr>
                <w:highlight w:val="yellow"/>
              </w:rPr>
              <w:t>ms</w:t>
            </w:r>
            <w:proofErr w:type="spellEnd"/>
          </w:p>
          <w:p w14:paraId="750C28F9" w14:textId="77777777" w:rsidR="00EE2E00" w:rsidRPr="00EE2E00" w:rsidRDefault="00EE2E00" w:rsidP="00EE2E00">
            <w:pPr>
              <w:numPr>
                <w:ilvl w:val="0"/>
                <w:numId w:val="27"/>
              </w:numPr>
            </w:pPr>
            <w:r w:rsidRPr="00EE2E00">
              <w:t>Notes for this objective:</w:t>
            </w:r>
          </w:p>
          <w:p w14:paraId="6E8CD25D" w14:textId="77777777" w:rsidR="00EE2E00" w:rsidRPr="00EE2E00" w:rsidRDefault="00EE2E00" w:rsidP="00EE2E00">
            <w:pPr>
              <w:numPr>
                <w:ilvl w:val="1"/>
                <w:numId w:val="27"/>
              </w:numPr>
            </w:pPr>
            <w:r w:rsidRPr="00EE2E00">
              <w:t>SSB channel enhancement other than SSB periodicity extension is not considered</w:t>
            </w:r>
          </w:p>
          <w:p w14:paraId="2B6F2802" w14:textId="77777777" w:rsidR="00EE2E00" w:rsidRPr="00EE2E00" w:rsidRDefault="00EE2E00" w:rsidP="00EE2E00">
            <w:pPr>
              <w:numPr>
                <w:ilvl w:val="2"/>
                <w:numId w:val="27"/>
              </w:numPr>
            </w:pPr>
            <w:r w:rsidRPr="00EE2E00">
              <w:t>RAN1 should consider issues such as UE’s cell search complexity and impact to initial cell selection, latency and success rate, for the above extension</w:t>
            </w:r>
          </w:p>
          <w:p w14:paraId="625E8FB2" w14:textId="77777777" w:rsidR="00EE2E00" w:rsidRPr="00EE2E00" w:rsidRDefault="00EE2E00" w:rsidP="00EE2E00">
            <w:pPr>
              <w:numPr>
                <w:ilvl w:val="1"/>
                <w:numId w:val="27"/>
              </w:numPr>
            </w:pPr>
            <w:r w:rsidRPr="00EE2E00">
              <w:lastRenderedPageBreak/>
              <w:t>The SSB periodicity enhancements potentially defined in this WID only apply to NTN operation</w:t>
            </w:r>
          </w:p>
          <w:p w14:paraId="60BB77A1" w14:textId="77777777" w:rsidR="00EE2E00" w:rsidRPr="00EE2E00" w:rsidRDefault="00EE2E00" w:rsidP="00EE2E00">
            <w:pPr>
              <w:numPr>
                <w:ilvl w:val="1"/>
                <w:numId w:val="27"/>
              </w:numPr>
            </w:pPr>
            <w:r w:rsidRPr="00EE2E00">
              <w:t>Antenna gain of UE shall be assumed to be -5.5dBi in case of smartphone in FR1-NTN, the UE is assumed to be a full duplex UE, and at least 2Rx are considered at the UE</w:t>
            </w:r>
          </w:p>
          <w:p w14:paraId="12E93EC5" w14:textId="77777777" w:rsidR="00EE2E00" w:rsidRPr="00EE2E00" w:rsidRDefault="00EE2E00" w:rsidP="00EE2E00">
            <w:pPr>
              <w:numPr>
                <w:ilvl w:val="1"/>
                <w:numId w:val="27"/>
              </w:numPr>
            </w:pPr>
            <w:r w:rsidRPr="00EE2E00">
              <w:t>NGSO to be considered in priority: LEO Set-1 @ 600 km</w:t>
            </w:r>
          </w:p>
          <w:p w14:paraId="6963F677" w14:textId="77777777" w:rsidR="00EE2E00" w:rsidRDefault="00EE2E00" w:rsidP="009339CB"/>
        </w:tc>
      </w:tr>
    </w:tbl>
    <w:p w14:paraId="136FBED1" w14:textId="77777777" w:rsidR="002F6C3F" w:rsidRDefault="002F6C3F" w:rsidP="009339CB"/>
    <w:p w14:paraId="50632BBC" w14:textId="1B2FCA47" w:rsidR="00EE2E00" w:rsidRDefault="002F6C3F" w:rsidP="009339CB">
      <w:r>
        <w:t>This paper discusses the topics of downlink coverage enhancement.</w:t>
      </w:r>
    </w:p>
    <w:p w14:paraId="7D484B6E" w14:textId="0CF80111" w:rsidR="009339CB" w:rsidRPr="006E13D1" w:rsidRDefault="009339CB" w:rsidP="009339CB">
      <w:pPr>
        <w:pStyle w:val="Heading1"/>
      </w:pPr>
      <w:r w:rsidRPr="006E13D1">
        <w:t>2</w:t>
      </w:r>
      <w:r w:rsidRPr="006E13D1">
        <w:tab/>
      </w:r>
      <w:r w:rsidR="00791032">
        <w:t>Discussion</w:t>
      </w:r>
    </w:p>
    <w:p w14:paraId="3B6DBE54" w14:textId="64BEE36F" w:rsidR="00A6742D" w:rsidRDefault="009339CB" w:rsidP="00A6742D">
      <w:pPr>
        <w:pStyle w:val="Heading2"/>
      </w:pPr>
      <w:r>
        <w:t>2</w:t>
      </w:r>
      <w:r w:rsidRPr="006E13D1">
        <w:t>.</w:t>
      </w:r>
      <w:r w:rsidR="0058375E">
        <w:t>1</w:t>
      </w:r>
      <w:r w:rsidR="00A6742D">
        <w:tab/>
        <w:t>SSB periodicity enhancements</w:t>
      </w:r>
    </w:p>
    <w:p w14:paraId="034FD66F" w14:textId="0B4D21F2" w:rsidR="00E238FD" w:rsidRPr="00E238FD" w:rsidRDefault="00A46B01" w:rsidP="00FA3FC4">
      <w:r>
        <w:t xml:space="preserve">In RAN plenary, the </w:t>
      </w:r>
      <w:hyperlink r:id="rId15" w:history="1">
        <w:r w:rsidRPr="0043670C">
          <w:rPr>
            <w:rStyle w:val="Hyperlink"/>
          </w:rPr>
          <w:t>NR_NTN_Ph3 WID</w:t>
        </w:r>
      </w:hyperlink>
      <w:r>
        <w:t xml:space="preserve"> has been updated to include the SSB extension to up to 160 </w:t>
      </w:r>
      <w:proofErr w:type="spellStart"/>
      <w:r>
        <w:t>ms</w:t>
      </w:r>
      <w:proofErr w:type="spellEnd"/>
      <w:r>
        <w:t xml:space="preserve">. This section </w:t>
      </w:r>
      <w:r w:rsidR="009C5524">
        <w:t>discusses</w:t>
      </w:r>
      <w:r w:rsidR="00E238FD">
        <w:t xml:space="preserve"> and proposes a way forward based on the issue</w:t>
      </w:r>
      <w:r>
        <w:t>.</w:t>
      </w:r>
    </w:p>
    <w:p w14:paraId="2BDB08B2" w14:textId="12AE7251" w:rsidR="00D7307F" w:rsidRPr="00D7307F" w:rsidRDefault="00D7307F" w:rsidP="00D7307F">
      <w:pPr>
        <w:pStyle w:val="Heading3"/>
      </w:pPr>
      <w:r>
        <w:t>2.1.1</w:t>
      </w:r>
      <w:r>
        <w:tab/>
        <w:t>MIB impact</w:t>
      </w:r>
    </w:p>
    <w:p w14:paraId="7787D7FF" w14:textId="63E6FB9F" w:rsidR="006D48E8" w:rsidRPr="00A6742D" w:rsidRDefault="00D92146" w:rsidP="00A6742D">
      <w:r>
        <w:t>For the SSB extension we believe</w:t>
      </w:r>
      <w:r w:rsidR="00F61597">
        <w:t xml:space="preserve"> it is important to note that in 38.331 the following is specified</w:t>
      </w:r>
      <w:r>
        <w:t>;</w:t>
      </w:r>
      <w:r w:rsidR="00F61597" w:rsidDel="00F61597">
        <w:t xml:space="preserve"> </w:t>
      </w:r>
    </w:p>
    <w:tbl>
      <w:tblPr>
        <w:tblStyle w:val="TableGrid"/>
        <w:tblW w:w="0" w:type="auto"/>
        <w:tblLook w:val="04A0" w:firstRow="1" w:lastRow="0" w:firstColumn="1" w:lastColumn="0" w:noHBand="0" w:noVBand="1"/>
      </w:tblPr>
      <w:tblGrid>
        <w:gridCol w:w="9631"/>
      </w:tblGrid>
      <w:tr w:rsidR="006D48E8" w14:paraId="307BCCF8" w14:textId="77777777" w:rsidTr="006D48E8">
        <w:tc>
          <w:tcPr>
            <w:tcW w:w="9631" w:type="dxa"/>
          </w:tcPr>
          <w:p w14:paraId="1876CC9D" w14:textId="77777777" w:rsidR="006D48E8" w:rsidRPr="006D48E8" w:rsidRDefault="006D48E8" w:rsidP="006D48E8">
            <w:pPr>
              <w:rPr>
                <w:b/>
                <w:bCs/>
                <w:lang w:val="en-US"/>
              </w:rPr>
            </w:pPr>
            <w:r w:rsidRPr="006D48E8">
              <w:rPr>
                <w:b/>
                <w:bCs/>
                <w:lang w:val="en-US"/>
              </w:rPr>
              <w:t>5.2.1      Introduction</w:t>
            </w:r>
          </w:p>
          <w:p w14:paraId="209466C6" w14:textId="77777777" w:rsidR="006D48E8" w:rsidRPr="006D48E8" w:rsidRDefault="006D48E8" w:rsidP="006D48E8">
            <w:pPr>
              <w:rPr>
                <w:lang w:val="en-US"/>
              </w:rPr>
            </w:pPr>
            <w:bookmarkStart w:id="1" w:name="_Hlk178674331"/>
            <w:r w:rsidRPr="006D48E8">
              <w:rPr>
                <w:lang w:val="en-US"/>
              </w:rPr>
              <w:t xml:space="preserve">System Information (SI) is divided into the </w:t>
            </w:r>
            <w:r w:rsidRPr="006D48E8">
              <w:rPr>
                <w:i/>
                <w:iCs/>
                <w:lang w:val="en-US"/>
              </w:rPr>
              <w:t>MIB</w:t>
            </w:r>
            <w:r w:rsidRPr="006D48E8">
              <w:rPr>
                <w:lang w:val="en-US"/>
              </w:rPr>
              <w:t xml:space="preserve"> </w:t>
            </w:r>
            <w:bookmarkEnd w:id="1"/>
            <w:r w:rsidRPr="006D48E8">
              <w:rPr>
                <w:lang w:val="en-US"/>
              </w:rPr>
              <w:t xml:space="preserve">and a number of SIBs and </w:t>
            </w:r>
            <w:proofErr w:type="spellStart"/>
            <w:r w:rsidRPr="006D48E8">
              <w:rPr>
                <w:lang w:val="en-US"/>
              </w:rPr>
              <w:t>posSIBs</w:t>
            </w:r>
            <w:proofErr w:type="spellEnd"/>
            <w:r w:rsidRPr="006D48E8">
              <w:rPr>
                <w:lang w:val="en-US"/>
              </w:rPr>
              <w:t xml:space="preserve"> where:</w:t>
            </w:r>
          </w:p>
          <w:p w14:paraId="78378C33" w14:textId="77777777" w:rsidR="006D48E8" w:rsidRPr="006D48E8" w:rsidRDefault="006D48E8" w:rsidP="006D48E8">
            <w:pPr>
              <w:rPr>
                <w:lang w:val="en-US"/>
              </w:rPr>
            </w:pPr>
            <w:r w:rsidRPr="006D48E8">
              <w:rPr>
                <w:lang w:val="en-US"/>
              </w:rPr>
              <w:t xml:space="preserve">-    the </w:t>
            </w:r>
            <w:r w:rsidRPr="006D48E8">
              <w:rPr>
                <w:i/>
                <w:iCs/>
                <w:highlight w:val="yellow"/>
                <w:lang w:val="en-US"/>
              </w:rPr>
              <w:t>MIB</w:t>
            </w:r>
            <w:r w:rsidRPr="006D48E8">
              <w:rPr>
                <w:highlight w:val="yellow"/>
                <w:lang w:val="en-US"/>
              </w:rPr>
              <w:t xml:space="preserve"> is always transmitted on the BCH with a periodicity of 80 </w:t>
            </w:r>
            <w:proofErr w:type="spellStart"/>
            <w:r w:rsidRPr="006D48E8">
              <w:rPr>
                <w:highlight w:val="yellow"/>
                <w:lang w:val="en-US"/>
              </w:rPr>
              <w:t>ms</w:t>
            </w:r>
            <w:proofErr w:type="spellEnd"/>
            <w:r w:rsidRPr="006D48E8">
              <w:rPr>
                <w:highlight w:val="yellow"/>
                <w:lang w:val="en-US"/>
              </w:rPr>
              <w:t xml:space="preserve"> and repetitions made within 80 </w:t>
            </w:r>
            <w:proofErr w:type="spellStart"/>
            <w:r w:rsidRPr="006D48E8">
              <w:rPr>
                <w:highlight w:val="yellow"/>
                <w:lang w:val="en-US"/>
              </w:rPr>
              <w:t>ms</w:t>
            </w:r>
            <w:proofErr w:type="spellEnd"/>
            <w:r w:rsidRPr="006D48E8">
              <w:rPr>
                <w:lang w:val="en-US"/>
              </w:rPr>
              <w:t xml:space="preserve"> (TS 38.212 [17], clause 7.1) and it includes parameters that are needed to acquire </w:t>
            </w:r>
            <w:r w:rsidRPr="006D48E8">
              <w:rPr>
                <w:i/>
                <w:iCs/>
                <w:lang w:val="en-US"/>
              </w:rPr>
              <w:t>SIB1</w:t>
            </w:r>
            <w:r w:rsidRPr="006D48E8">
              <w:rPr>
                <w:lang w:val="en-US"/>
              </w:rPr>
              <w:t xml:space="preserve"> from the cell. The first transmission of the </w:t>
            </w:r>
            <w:r w:rsidRPr="006D48E8">
              <w:rPr>
                <w:i/>
                <w:iCs/>
                <w:lang w:val="en-US"/>
              </w:rPr>
              <w:t>MIB</w:t>
            </w:r>
            <w:r w:rsidRPr="006D48E8">
              <w:rPr>
                <w:lang w:val="en-US"/>
              </w:rPr>
              <w:t xml:space="preserve"> is scheduled in subframes as defined in TS 38.213 [13], clause 4.1 and </w:t>
            </w:r>
            <w:r w:rsidRPr="004F3258">
              <w:rPr>
                <w:highlight w:val="yellow"/>
                <w:lang w:val="en-US"/>
              </w:rPr>
              <w:t>repetitions are scheduled according to the period of SSB</w:t>
            </w:r>
            <w:r w:rsidRPr="006D48E8">
              <w:rPr>
                <w:lang w:val="en-US"/>
              </w:rPr>
              <w:t>;</w:t>
            </w:r>
          </w:p>
          <w:p w14:paraId="060A6B4E" w14:textId="77777777" w:rsidR="006D48E8" w:rsidRPr="006D48E8" w:rsidRDefault="006D48E8" w:rsidP="006D48E8">
            <w:pPr>
              <w:rPr>
                <w:lang w:val="en-US"/>
              </w:rPr>
            </w:pPr>
            <w:r w:rsidRPr="006D48E8">
              <w:rPr>
                <w:lang w:val="en-US"/>
              </w:rPr>
              <w:t xml:space="preserve">NOTE 1:  </w:t>
            </w:r>
            <w:r w:rsidRPr="006D48E8">
              <w:rPr>
                <w:highlight w:val="yellow"/>
                <w:lang w:val="en-US"/>
              </w:rPr>
              <w:t xml:space="preserve">If the period of SSB is larger than 80 </w:t>
            </w:r>
            <w:proofErr w:type="spellStart"/>
            <w:r w:rsidRPr="006D48E8">
              <w:rPr>
                <w:highlight w:val="yellow"/>
                <w:lang w:val="en-US"/>
              </w:rPr>
              <w:t>ms</w:t>
            </w:r>
            <w:proofErr w:type="spellEnd"/>
            <w:r w:rsidRPr="006D48E8">
              <w:rPr>
                <w:highlight w:val="yellow"/>
                <w:lang w:val="en-US"/>
              </w:rPr>
              <w:t>, the MIB is transmitted with the same periodicity as that of SSB</w:t>
            </w:r>
            <w:r w:rsidRPr="006D48E8">
              <w:rPr>
                <w:lang w:val="en-US"/>
              </w:rPr>
              <w:t>.</w:t>
            </w:r>
          </w:p>
          <w:p w14:paraId="2F56D024" w14:textId="7032B6D5" w:rsidR="006D48E8" w:rsidRDefault="006D48E8" w:rsidP="009339CB">
            <w:pPr>
              <w:rPr>
                <w:lang w:val="en-US"/>
              </w:rPr>
            </w:pPr>
            <w:r w:rsidRPr="006D48E8">
              <w:rPr>
                <w:lang w:val="en-US"/>
              </w:rPr>
              <w:t xml:space="preserve">-    the </w:t>
            </w:r>
            <w:r w:rsidRPr="006D48E8">
              <w:rPr>
                <w:i/>
                <w:iCs/>
                <w:lang w:val="en-US"/>
              </w:rPr>
              <w:t>SIB1</w:t>
            </w:r>
            <w:r w:rsidRPr="006D48E8">
              <w:rPr>
                <w:lang w:val="en-US"/>
              </w:rPr>
              <w:t xml:space="preserve"> is transmitted on the DL-SCH with a periodicity of 160 </w:t>
            </w:r>
            <w:proofErr w:type="spellStart"/>
            <w:r w:rsidRPr="006D48E8">
              <w:rPr>
                <w:lang w:val="en-US"/>
              </w:rPr>
              <w:t>ms</w:t>
            </w:r>
            <w:proofErr w:type="spellEnd"/>
            <w:r w:rsidRPr="006D48E8">
              <w:rPr>
                <w:lang w:val="en-US"/>
              </w:rPr>
              <w:t xml:space="preserve"> and variable transmission repetition periodicity within 160 </w:t>
            </w:r>
            <w:proofErr w:type="spellStart"/>
            <w:r w:rsidRPr="006D48E8">
              <w:rPr>
                <w:lang w:val="en-US"/>
              </w:rPr>
              <w:t>ms</w:t>
            </w:r>
            <w:proofErr w:type="spellEnd"/>
            <w:r w:rsidRPr="006D48E8">
              <w:rPr>
                <w:lang w:val="en-US"/>
              </w:rPr>
              <w:t xml:space="preserve"> as specified in TS 38.213 [13], clause 13. The default transmission repetition periodicity of </w:t>
            </w:r>
            <w:r w:rsidRPr="006D48E8">
              <w:rPr>
                <w:i/>
                <w:iCs/>
                <w:lang w:val="en-US"/>
              </w:rPr>
              <w:t>SIB1</w:t>
            </w:r>
            <w:r w:rsidRPr="006D48E8">
              <w:rPr>
                <w:lang w:val="en-US"/>
              </w:rPr>
              <w:t xml:space="preserve"> is 20 </w:t>
            </w:r>
            <w:proofErr w:type="spellStart"/>
            <w:r w:rsidRPr="006D48E8">
              <w:rPr>
                <w:lang w:val="en-US"/>
              </w:rPr>
              <w:t>ms</w:t>
            </w:r>
            <w:proofErr w:type="spellEnd"/>
            <w:r w:rsidRPr="006D48E8">
              <w:rPr>
                <w:lang w:val="en-US"/>
              </w:rPr>
              <w:t xml:space="preserve"> but the actual transmission repetition periodicity is up to network implementation. </w:t>
            </w:r>
            <w:r w:rsidRPr="00D17E0C">
              <w:rPr>
                <w:highlight w:val="cyan"/>
                <w:lang w:val="en-US"/>
              </w:rPr>
              <w:t xml:space="preserve">For SSB and CORESET multiplexing pattern 1, </w:t>
            </w:r>
            <w:r w:rsidRPr="00D17E0C">
              <w:rPr>
                <w:i/>
                <w:highlight w:val="cyan"/>
                <w:lang w:val="en-US"/>
              </w:rPr>
              <w:t>SIB1</w:t>
            </w:r>
            <w:r w:rsidRPr="00D17E0C">
              <w:rPr>
                <w:highlight w:val="cyan"/>
                <w:lang w:val="en-US"/>
              </w:rPr>
              <w:t xml:space="preserve"> repetition transmission period is 20 </w:t>
            </w:r>
            <w:proofErr w:type="spellStart"/>
            <w:r w:rsidRPr="00D17E0C">
              <w:rPr>
                <w:highlight w:val="cyan"/>
                <w:lang w:val="en-US"/>
              </w:rPr>
              <w:t>ms</w:t>
            </w:r>
            <w:r w:rsidRPr="006D48E8">
              <w:rPr>
                <w:lang w:val="en-US"/>
              </w:rPr>
              <w:t>.</w:t>
            </w:r>
            <w:proofErr w:type="spellEnd"/>
            <w:r w:rsidRPr="006D48E8">
              <w:rPr>
                <w:lang w:val="en-US"/>
              </w:rPr>
              <w:t xml:space="preserve"> For SSB and CORESET multiplexing pattern 2/3, </w:t>
            </w:r>
            <w:r w:rsidRPr="006D48E8">
              <w:rPr>
                <w:i/>
                <w:iCs/>
                <w:lang w:val="en-US"/>
              </w:rPr>
              <w:t>SIB1</w:t>
            </w:r>
            <w:r w:rsidRPr="006D48E8">
              <w:rPr>
                <w:lang w:val="en-US"/>
              </w:rPr>
              <w:t xml:space="preserve"> transmission repetition period is the same as the SSB period (TS 38.213 [13], clause 13). </w:t>
            </w:r>
            <w:r w:rsidRPr="006D48E8">
              <w:rPr>
                <w:i/>
                <w:iCs/>
                <w:lang w:val="en-US"/>
              </w:rPr>
              <w:t>SIB1</w:t>
            </w:r>
            <w:r w:rsidRPr="006D48E8">
              <w:rPr>
                <w:lang w:val="en-US"/>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6D48E8">
              <w:rPr>
                <w:i/>
                <w:iCs/>
                <w:lang w:val="en-US"/>
              </w:rPr>
              <w:t>SIB1</w:t>
            </w:r>
            <w:r w:rsidRPr="006D48E8">
              <w:rPr>
                <w:lang w:val="en-US"/>
              </w:rPr>
              <w:t xml:space="preserve"> is cell-specific SIB;</w:t>
            </w:r>
          </w:p>
        </w:tc>
      </w:tr>
    </w:tbl>
    <w:p w14:paraId="16542B5D" w14:textId="77777777" w:rsidR="00E91FB8" w:rsidRDefault="00E91FB8" w:rsidP="00E91FB8">
      <w:pPr>
        <w:jc w:val="both"/>
        <w:rPr>
          <w:lang w:val="en-US"/>
        </w:rPr>
      </w:pPr>
    </w:p>
    <w:p w14:paraId="73D35433" w14:textId="6894098B" w:rsidR="00D479F5" w:rsidRDefault="006D48E8" w:rsidP="00E91FB8">
      <w:pPr>
        <w:jc w:val="both"/>
        <w:rPr>
          <w:lang w:val="en-US"/>
        </w:rPr>
      </w:pPr>
      <w:r>
        <w:rPr>
          <w:lang w:val="en-US"/>
        </w:rPr>
        <w:t xml:space="preserve">This means, that with the SSB period of </w:t>
      </w:r>
      <w:r w:rsidR="00942AE0">
        <w:rPr>
          <w:lang w:val="en-US"/>
        </w:rPr>
        <w:t xml:space="preserve">up to </w:t>
      </w:r>
      <w:r w:rsidR="00222E39">
        <w:rPr>
          <w:lang w:val="en-US"/>
        </w:rPr>
        <w:t>160</w:t>
      </w:r>
      <w:r w:rsidR="00E201DC">
        <w:rPr>
          <w:lang w:val="en-US"/>
        </w:rPr>
        <w:t xml:space="preserve"> </w:t>
      </w:r>
      <w:proofErr w:type="spellStart"/>
      <w:r w:rsidR="00E201DC">
        <w:rPr>
          <w:lang w:val="en-US"/>
        </w:rPr>
        <w:t>ms</w:t>
      </w:r>
      <w:proofErr w:type="spellEnd"/>
      <w:r>
        <w:rPr>
          <w:lang w:val="en-US"/>
        </w:rPr>
        <w:t>, there may be some impact on MIB transmission as well.</w:t>
      </w:r>
      <w:r w:rsidR="00123806">
        <w:rPr>
          <w:lang w:val="en-US"/>
        </w:rPr>
        <w:t xml:space="preserve"> </w:t>
      </w:r>
      <w:r w:rsidR="006B00BA">
        <w:rPr>
          <w:lang w:val="en-US"/>
        </w:rPr>
        <w:t xml:space="preserve">A similar situation occurs with the transmission of SIB1. </w:t>
      </w:r>
      <w:r w:rsidR="0002598D">
        <w:rPr>
          <w:lang w:val="en-US"/>
        </w:rPr>
        <w:t xml:space="preserve">According to the above </w:t>
      </w:r>
      <w:r w:rsidR="00862AD0">
        <w:rPr>
          <w:lang w:val="en-US"/>
        </w:rPr>
        <w:t>specification</w:t>
      </w:r>
      <w:r w:rsidR="0002598D">
        <w:rPr>
          <w:lang w:val="en-US"/>
        </w:rPr>
        <w:t xml:space="preserve">, </w:t>
      </w:r>
      <w:r w:rsidR="001660DE">
        <w:rPr>
          <w:lang w:val="en-US"/>
        </w:rPr>
        <w:t xml:space="preserve">in case </w:t>
      </w:r>
      <w:r w:rsidR="00862AD0">
        <w:rPr>
          <w:lang w:val="en-US"/>
        </w:rPr>
        <w:t>of</w:t>
      </w:r>
      <w:r w:rsidR="001660DE">
        <w:rPr>
          <w:lang w:val="en-US"/>
        </w:rPr>
        <w:t xml:space="preserve"> </w:t>
      </w:r>
      <w:r w:rsidR="00862AD0">
        <w:rPr>
          <w:lang w:val="en-US"/>
        </w:rPr>
        <w:t xml:space="preserve">multiplexing pattern 1, SIB1 period is hard coded into 20 </w:t>
      </w:r>
      <w:proofErr w:type="spellStart"/>
      <w:r w:rsidR="00862AD0">
        <w:rPr>
          <w:lang w:val="en-US"/>
        </w:rPr>
        <w:t>ms.</w:t>
      </w:r>
      <w:proofErr w:type="spellEnd"/>
      <w:r w:rsidR="008D2B7B">
        <w:rPr>
          <w:lang w:val="en-US"/>
        </w:rPr>
        <w:t xml:space="preserve"> This means that in case of SSB periodicities longer than 20 </w:t>
      </w:r>
      <w:proofErr w:type="spellStart"/>
      <w:r w:rsidR="008D2B7B">
        <w:rPr>
          <w:lang w:val="en-US"/>
        </w:rPr>
        <w:t>ms</w:t>
      </w:r>
      <w:proofErr w:type="spellEnd"/>
      <w:r w:rsidR="008D2B7B">
        <w:rPr>
          <w:lang w:val="en-US"/>
        </w:rPr>
        <w:t xml:space="preserve">, </w:t>
      </w:r>
      <w:r w:rsidR="001D5C88">
        <w:rPr>
          <w:lang w:val="en-US"/>
        </w:rPr>
        <w:t>the SIB1 periodicity may not follow the SSB transmissions.</w:t>
      </w:r>
      <w:r w:rsidR="00862AD0">
        <w:rPr>
          <w:lang w:val="en-US"/>
        </w:rPr>
        <w:t xml:space="preserve"> In our view, </w:t>
      </w:r>
      <w:r w:rsidR="00141106">
        <w:rPr>
          <w:lang w:val="en-US"/>
        </w:rPr>
        <w:t>the</w:t>
      </w:r>
      <w:r w:rsidR="00784447">
        <w:rPr>
          <w:lang w:val="en-US"/>
        </w:rPr>
        <w:t xml:space="preserve"> specification should prevent the network from using an SSB extended periodicity</w:t>
      </w:r>
      <w:r w:rsidR="001D5C88">
        <w:rPr>
          <w:lang w:val="en-US"/>
        </w:rPr>
        <w:t xml:space="preserve"> (e.g., 160 </w:t>
      </w:r>
      <w:proofErr w:type="spellStart"/>
      <w:r w:rsidR="001D5C88">
        <w:rPr>
          <w:lang w:val="en-US"/>
        </w:rPr>
        <w:t>ms</w:t>
      </w:r>
      <w:proofErr w:type="spellEnd"/>
      <w:r w:rsidR="001D5C88">
        <w:rPr>
          <w:lang w:val="en-US"/>
        </w:rPr>
        <w:t>)</w:t>
      </w:r>
      <w:r w:rsidR="00784447">
        <w:rPr>
          <w:lang w:val="en-US"/>
        </w:rPr>
        <w:t xml:space="preserve"> together with this pattern configuration. </w:t>
      </w:r>
      <w:r w:rsidR="00E91FB8">
        <w:rPr>
          <w:lang w:val="en-US"/>
        </w:rPr>
        <w:t>For that reason, we propose the following:</w:t>
      </w:r>
    </w:p>
    <w:p w14:paraId="377F2B67" w14:textId="16BEBCC0" w:rsidR="006D48E8" w:rsidRPr="006D48E8" w:rsidRDefault="006D48E8" w:rsidP="00E86544">
      <w:pPr>
        <w:jc w:val="both"/>
        <w:rPr>
          <w:b/>
          <w:bCs/>
          <w:lang w:val="en-US"/>
        </w:rPr>
      </w:pPr>
      <w:r w:rsidRPr="006D48E8">
        <w:rPr>
          <w:b/>
          <w:bCs/>
          <w:lang w:val="en-US"/>
        </w:rPr>
        <w:t xml:space="preserve">Proposal </w:t>
      </w:r>
      <w:r w:rsidR="00511664">
        <w:rPr>
          <w:b/>
          <w:bCs/>
          <w:lang w:val="en-US"/>
        </w:rPr>
        <w:t>1</w:t>
      </w:r>
      <w:r w:rsidRPr="006D48E8">
        <w:rPr>
          <w:b/>
          <w:bCs/>
          <w:lang w:val="en-US"/>
        </w:rPr>
        <w:t>: RAN2 to include in the study the impact on MIB transmission and reception due to the SSB periodicity extension</w:t>
      </w:r>
      <w:r w:rsidR="00A74150">
        <w:rPr>
          <w:b/>
          <w:bCs/>
          <w:lang w:val="en-US"/>
        </w:rPr>
        <w:t xml:space="preserve"> e.g. </w:t>
      </w:r>
      <w:r w:rsidR="00B367CA">
        <w:rPr>
          <w:b/>
          <w:bCs/>
          <w:lang w:val="en-US"/>
        </w:rPr>
        <w:t xml:space="preserve">allowing MIB periodicity </w:t>
      </w:r>
      <w:r w:rsidR="00EF79E2">
        <w:rPr>
          <w:b/>
          <w:bCs/>
          <w:lang w:val="en-US"/>
        </w:rPr>
        <w:t xml:space="preserve">to follow SSB even for periods lower than </w:t>
      </w:r>
      <w:r w:rsidR="0025472B">
        <w:rPr>
          <w:b/>
          <w:bCs/>
          <w:lang w:val="en-US"/>
        </w:rPr>
        <w:t xml:space="preserve">160 </w:t>
      </w:r>
      <w:proofErr w:type="spellStart"/>
      <w:r w:rsidR="00EF79E2">
        <w:rPr>
          <w:b/>
          <w:bCs/>
          <w:lang w:val="en-US"/>
        </w:rPr>
        <w:t>ms</w:t>
      </w:r>
      <w:proofErr w:type="spellEnd"/>
      <w:r w:rsidR="00B367CA">
        <w:rPr>
          <w:b/>
          <w:bCs/>
          <w:lang w:val="en-US"/>
        </w:rPr>
        <w:t xml:space="preserve">, and </w:t>
      </w:r>
      <w:r w:rsidR="00E91FB8">
        <w:rPr>
          <w:b/>
          <w:bCs/>
          <w:lang w:val="en-US"/>
        </w:rPr>
        <w:t>to prevent a joint configuration</w:t>
      </w:r>
      <w:r w:rsidR="00EF7E75">
        <w:rPr>
          <w:b/>
          <w:bCs/>
          <w:lang w:val="en-US"/>
        </w:rPr>
        <w:t xml:space="preserve"> of</w:t>
      </w:r>
      <w:r w:rsidR="00E97F03">
        <w:rPr>
          <w:b/>
          <w:bCs/>
          <w:lang w:val="en-US"/>
        </w:rPr>
        <w:t xml:space="preserve"> </w:t>
      </w:r>
      <w:r w:rsidR="00672105">
        <w:rPr>
          <w:b/>
          <w:bCs/>
          <w:lang w:val="en-US"/>
        </w:rPr>
        <w:t>CORESET multiplexing pattern 1</w:t>
      </w:r>
      <w:r w:rsidR="00E97F03">
        <w:rPr>
          <w:b/>
          <w:bCs/>
          <w:lang w:val="en-US"/>
        </w:rPr>
        <w:t xml:space="preserve"> together with </w:t>
      </w:r>
      <w:r w:rsidR="00DB2E33">
        <w:rPr>
          <w:b/>
          <w:bCs/>
          <w:lang w:val="en-US"/>
        </w:rPr>
        <w:t xml:space="preserve">SSB </w:t>
      </w:r>
      <w:r w:rsidR="001A552C">
        <w:rPr>
          <w:b/>
          <w:bCs/>
          <w:lang w:val="en-US"/>
        </w:rPr>
        <w:t xml:space="preserve">periods longer than 20 </w:t>
      </w:r>
      <w:proofErr w:type="spellStart"/>
      <w:r w:rsidR="001A552C">
        <w:rPr>
          <w:b/>
          <w:bCs/>
          <w:lang w:val="en-US"/>
        </w:rPr>
        <w:t>ms</w:t>
      </w:r>
      <w:r w:rsidRPr="006D48E8">
        <w:rPr>
          <w:b/>
          <w:bCs/>
          <w:lang w:val="en-US"/>
        </w:rPr>
        <w:t>.</w:t>
      </w:r>
      <w:proofErr w:type="spellEnd"/>
    </w:p>
    <w:p w14:paraId="044BCF1D" w14:textId="28EF190F" w:rsidR="00D7307F" w:rsidRDefault="00D7307F" w:rsidP="00D7307F">
      <w:pPr>
        <w:pStyle w:val="Heading3"/>
        <w:rPr>
          <w:lang w:val="en-US"/>
        </w:rPr>
      </w:pPr>
      <w:r>
        <w:rPr>
          <w:lang w:val="en-US"/>
        </w:rPr>
        <w:t>2.2.2</w:t>
      </w:r>
      <w:r>
        <w:rPr>
          <w:lang w:val="en-US"/>
        </w:rPr>
        <w:tab/>
        <w:t>Neighbor cell measurement configuration</w:t>
      </w:r>
    </w:p>
    <w:p w14:paraId="6679EC24" w14:textId="2E5BC90C" w:rsidR="006D48E8" w:rsidRDefault="009E693A" w:rsidP="009339CB">
      <w:pPr>
        <w:rPr>
          <w:lang w:val="en-US"/>
        </w:rPr>
      </w:pPr>
      <w:r>
        <w:rPr>
          <w:lang w:val="en-US"/>
        </w:rPr>
        <w:t>At RAN2#</w:t>
      </w:r>
      <w:r w:rsidR="002D2FBF">
        <w:rPr>
          <w:lang w:val="en-US"/>
        </w:rPr>
        <w:t xml:space="preserve">128bis </w:t>
      </w:r>
      <w:r w:rsidR="00542478">
        <w:rPr>
          <w:lang w:val="en-US"/>
        </w:rPr>
        <w:t>it was agreed to investigate UE consumption and impact of the SSB extension</w:t>
      </w:r>
      <w:r w:rsidR="00FE412D">
        <w:rPr>
          <w:lang w:val="en-US"/>
        </w:rPr>
        <w:t xml:space="preserve">, the need for separate </w:t>
      </w:r>
      <w:proofErr w:type="spellStart"/>
      <w:r w:rsidR="00FE412D">
        <w:rPr>
          <w:lang w:val="en-US"/>
        </w:rPr>
        <w:t>signalling</w:t>
      </w:r>
      <w:proofErr w:type="spellEnd"/>
      <w:r w:rsidR="00FE412D">
        <w:rPr>
          <w:lang w:val="en-US"/>
        </w:rPr>
        <w:t xml:space="preserve"> for DL CE cells SMTCs</w:t>
      </w:r>
      <w:r w:rsidR="00EB1ACE">
        <w:rPr>
          <w:lang w:val="en-US"/>
        </w:rPr>
        <w:t xml:space="preserve">, and continue to discuss how to enable a UE to </w:t>
      </w:r>
      <w:r w:rsidR="00586D86">
        <w:rPr>
          <w:lang w:val="en-US"/>
        </w:rPr>
        <w:t>measure the correct neighbor cells while considering the energy consumption aspect</w:t>
      </w:r>
      <w:r w:rsidR="00EB1ACE">
        <w:rPr>
          <w:lang w:val="en-US"/>
        </w:rPr>
        <w:t>.</w:t>
      </w:r>
    </w:p>
    <w:tbl>
      <w:tblPr>
        <w:tblStyle w:val="TableGrid"/>
        <w:tblW w:w="0" w:type="auto"/>
        <w:tblLook w:val="04A0" w:firstRow="1" w:lastRow="0" w:firstColumn="1" w:lastColumn="0" w:noHBand="0" w:noVBand="1"/>
      </w:tblPr>
      <w:tblGrid>
        <w:gridCol w:w="9631"/>
      </w:tblGrid>
      <w:tr w:rsidR="00115A45" w14:paraId="2FF4E313" w14:textId="77777777" w:rsidTr="00115A45">
        <w:tc>
          <w:tcPr>
            <w:tcW w:w="9631" w:type="dxa"/>
          </w:tcPr>
          <w:p w14:paraId="63B0D373" w14:textId="77777777" w:rsidR="00115A45" w:rsidRDefault="00115A45" w:rsidP="00115A45">
            <w:pPr>
              <w:pStyle w:val="Doc-title"/>
            </w:pPr>
            <w:hyperlink r:id="rId16" w:history="1">
              <w:r>
                <w:rPr>
                  <w:rStyle w:val="Hyperlink"/>
                </w:rPr>
                <w:t>R2-2410804</w:t>
              </w:r>
            </w:hyperlink>
            <w:r>
              <w:tab/>
              <w:t>Downlink coverage enhancement SMTC impacts</w:t>
            </w:r>
            <w:r>
              <w:tab/>
              <w:t>Sequans Communications</w:t>
            </w:r>
            <w:r>
              <w:tab/>
              <w:t>discussion</w:t>
            </w:r>
            <w:r>
              <w:tab/>
              <w:t>Rel-19</w:t>
            </w:r>
            <w:r>
              <w:tab/>
              <w:t>NR_NTN_Ph3-Core</w:t>
            </w:r>
            <w:r>
              <w:tab/>
            </w:r>
            <w:hyperlink r:id="rId17" w:history="1">
              <w:r>
                <w:rPr>
                  <w:rStyle w:val="Hyperlink"/>
                </w:rPr>
                <w:t>R2-2408970</w:t>
              </w:r>
            </w:hyperlink>
          </w:p>
          <w:p w14:paraId="11ACD486" w14:textId="77777777" w:rsidR="00115A45" w:rsidRDefault="00115A45" w:rsidP="00115A45">
            <w:pPr>
              <w:pStyle w:val="Comments"/>
            </w:pPr>
            <w:r w:rsidRPr="008E6277">
              <w:t>Proposal 1: RAN2 assumes that the number of configured SMTCs may increase due to beam-hopping / larger SSB periodicity (depending on RAN1/4 solution)</w:t>
            </w:r>
          </w:p>
          <w:p w14:paraId="2E61C1D1" w14:textId="77777777" w:rsidR="00115A45" w:rsidRDefault="00115A45" w:rsidP="00115A45">
            <w:pPr>
              <w:pStyle w:val="Doc-text2"/>
            </w:pPr>
            <w:r>
              <w:t>-</w:t>
            </w:r>
            <w:r>
              <w:tab/>
              <w:t>LG thinks the discussion on additional SMTC is up to other groups and then thinks we don’t need to take this assumption for now</w:t>
            </w:r>
          </w:p>
          <w:p w14:paraId="77553E0C" w14:textId="77777777" w:rsidR="00115A45" w:rsidRDefault="00115A45" w:rsidP="00115A45">
            <w:pPr>
              <w:pStyle w:val="Doc-text2"/>
            </w:pPr>
            <w:r>
              <w:t>-</w:t>
            </w:r>
            <w:r>
              <w:tab/>
              <w:t>Google is not sure we need to extend the number of STMCs even if larger periodicity will be used</w:t>
            </w:r>
          </w:p>
          <w:p w14:paraId="1C3A4B5F" w14:textId="77777777" w:rsidR="00115A45" w:rsidRDefault="00115A45" w:rsidP="00115A45">
            <w:pPr>
              <w:pStyle w:val="Doc-text2"/>
            </w:pPr>
            <w:r>
              <w:t>-</w:t>
            </w:r>
            <w:r>
              <w:tab/>
              <w:t>Nokia supports this proposal and thinks this is also consistent with the options being considered by RAN1</w:t>
            </w:r>
          </w:p>
          <w:p w14:paraId="036A3C7B" w14:textId="77777777" w:rsidR="00115A45" w:rsidRDefault="00115A45" w:rsidP="00115A45">
            <w:pPr>
              <w:pStyle w:val="Doc-text2"/>
            </w:pPr>
            <w:r>
              <w:t>-</w:t>
            </w:r>
            <w:r>
              <w:tab/>
              <w:t>Sequans thinks there could be the need for multiple SMTCs per frequency layer and this is the baseline scenario that we would have to consider</w:t>
            </w:r>
          </w:p>
          <w:p w14:paraId="1D9EDA4E" w14:textId="77777777" w:rsidR="00115A45" w:rsidRPr="008E6277" w:rsidRDefault="00115A45" w:rsidP="00115A45">
            <w:pPr>
              <w:pStyle w:val="Doc-text2"/>
            </w:pPr>
            <w:r>
              <w:t>-</w:t>
            </w:r>
            <w:r>
              <w:tab/>
              <w:t>QC is not sure why we need to increase the number of SMTCs</w:t>
            </w:r>
          </w:p>
          <w:p w14:paraId="7229AED6" w14:textId="77777777" w:rsidR="00115A45" w:rsidRDefault="00115A45" w:rsidP="00115A45">
            <w:pPr>
              <w:pStyle w:val="Comments"/>
            </w:pPr>
            <w:r w:rsidRPr="008E6277">
              <w:t>Proposal 2: RAN2 investigates related additional power consumption impact (including legacy UEs)</w:t>
            </w:r>
          </w:p>
          <w:p w14:paraId="4425330A" w14:textId="77777777" w:rsidR="00115A45" w:rsidRPr="008E6277" w:rsidRDefault="00115A45" w:rsidP="00115A45">
            <w:pPr>
              <w:pStyle w:val="Agreement"/>
            </w:pPr>
            <w:r>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14:paraId="6223E4AB" w14:textId="77777777" w:rsidR="00115A45" w:rsidRDefault="00115A45" w:rsidP="00115A45">
            <w:pPr>
              <w:pStyle w:val="Comments"/>
            </w:pPr>
            <w:r w:rsidRPr="008E6277">
              <w:t xml:space="preserve">Proposal 3: RAN2 considers </w:t>
            </w:r>
            <w:proofErr w:type="spellStart"/>
            <w:r w:rsidRPr="008E6277">
              <w:t>signaling</w:t>
            </w:r>
            <w:proofErr w:type="spellEnd"/>
            <w:r w:rsidRPr="008E6277">
              <w:t xml:space="preserve"> DL CE cells SMTCs separately (e.g. new SMTC5 list)</w:t>
            </w:r>
          </w:p>
          <w:p w14:paraId="16084C64" w14:textId="77777777" w:rsidR="00115A45" w:rsidRDefault="00115A45" w:rsidP="00115A45">
            <w:pPr>
              <w:pStyle w:val="Doc-text2"/>
            </w:pPr>
            <w:r>
              <w:t>-</w:t>
            </w:r>
            <w:r>
              <w:tab/>
              <w:t>Sequans thinks that if we don’t update the signalling then we only have one periodicity</w:t>
            </w:r>
          </w:p>
          <w:p w14:paraId="57674AC1" w14:textId="77777777" w:rsidR="00115A45" w:rsidRPr="008E6277" w:rsidRDefault="00115A45" w:rsidP="00115A45">
            <w:pPr>
              <w:pStyle w:val="Agreement"/>
            </w:pP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30ABB152" w14:textId="77777777" w:rsidR="00115A45" w:rsidRPr="008E6277" w:rsidRDefault="00115A45" w:rsidP="00115A45">
            <w:pPr>
              <w:pStyle w:val="Comments"/>
            </w:pPr>
            <w:r w:rsidRPr="008E6277">
              <w:t xml:space="preserve">Observation 1: The UE should ideally consider only SMTCs corresponding to the closest </w:t>
            </w:r>
            <w:proofErr w:type="spellStart"/>
            <w:r w:rsidRPr="008E6277">
              <w:t>neighbor</w:t>
            </w:r>
            <w:proofErr w:type="spellEnd"/>
            <w:r w:rsidRPr="008E6277">
              <w:t xml:space="preserve"> cells</w:t>
            </w:r>
          </w:p>
          <w:p w14:paraId="45BE5D26" w14:textId="77777777" w:rsidR="00115A45" w:rsidRDefault="00115A45" w:rsidP="00115A45">
            <w:pPr>
              <w:pStyle w:val="Comments"/>
            </w:pPr>
            <w:r w:rsidRPr="008E6277">
              <w:t xml:space="preserve">Proposal 4: Consider enhancements to allow location-based UE SMTC selection (broadcast of </w:t>
            </w:r>
            <w:proofErr w:type="spellStart"/>
            <w:r w:rsidRPr="008E6277">
              <w:t>neighbor</w:t>
            </w:r>
            <w:proofErr w:type="spellEnd"/>
            <w:r w:rsidRPr="008E6277">
              <w:t xml:space="preserve"> cells reference location / SSB indexes associated with SMTCs)</w:t>
            </w:r>
          </w:p>
          <w:p w14:paraId="330843C9" w14:textId="77777777" w:rsidR="00115A45" w:rsidRDefault="00115A45" w:rsidP="00115A45">
            <w:pPr>
              <w:pStyle w:val="Doc-text2"/>
            </w:pPr>
            <w:r>
              <w:t>-</w:t>
            </w:r>
            <w:r>
              <w:tab/>
              <w:t>Nokia agrees but thinks we could work on a UE-centric solution</w:t>
            </w:r>
          </w:p>
          <w:p w14:paraId="5F1D4CB6" w14:textId="77777777" w:rsidR="00115A45" w:rsidRDefault="00115A45" w:rsidP="00115A45">
            <w:pPr>
              <w:pStyle w:val="Doc-text2"/>
            </w:pPr>
            <w:r>
              <w:t>-</w:t>
            </w:r>
            <w:r>
              <w:tab/>
              <w:t>QC thinks there is no need to capture anything for this at this stage. LG, CATT, Samsung agree</w:t>
            </w:r>
          </w:p>
          <w:p w14:paraId="0214C208" w14:textId="77777777" w:rsidR="00115A45" w:rsidRPr="002727DD" w:rsidRDefault="00115A45" w:rsidP="00115A45">
            <w:pPr>
              <w:pStyle w:val="Agreement"/>
            </w:pPr>
            <w:r>
              <w:t>Can come back in the next meeting</w:t>
            </w:r>
          </w:p>
          <w:p w14:paraId="77A92B73" w14:textId="77777777" w:rsidR="00115A45" w:rsidRPr="00FA3FC4" w:rsidRDefault="00115A45" w:rsidP="009339CB"/>
        </w:tc>
      </w:tr>
    </w:tbl>
    <w:p w14:paraId="3AB665DF" w14:textId="77777777" w:rsidR="004C0634" w:rsidRDefault="004C0634" w:rsidP="00B96DE5">
      <w:pPr>
        <w:jc w:val="both"/>
      </w:pPr>
    </w:p>
    <w:p w14:paraId="5AE9B5CA" w14:textId="5929FC06" w:rsidR="00B96DE5" w:rsidRDefault="00D7307F" w:rsidP="00B96DE5">
      <w:pPr>
        <w:jc w:val="both"/>
        <w:rPr>
          <w:lang w:val="en-US"/>
        </w:rPr>
      </w:pPr>
      <w:r>
        <w:t>Considering neighbour cell measurements, t</w:t>
      </w:r>
      <w:r w:rsidRPr="00B9487B">
        <w:t>he serving cell is providing SMTC windows and measurement gaps (MG) to UEs from the assumption that the neighbouring cell is transmitting the SSB with a certain periodicity.</w:t>
      </w:r>
      <w:r w:rsidR="00530547">
        <w:t xml:space="preserve"> </w:t>
      </w:r>
      <w:r w:rsidR="00B96DE5">
        <w:rPr>
          <w:lang w:val="en-US"/>
        </w:rPr>
        <w:t xml:space="preserve">In </w:t>
      </w:r>
      <w:hyperlink r:id="rId18" w:history="1">
        <w:r w:rsidR="00B96DE5" w:rsidRPr="00C01602">
          <w:rPr>
            <w:rStyle w:val="Hyperlink"/>
            <w:lang w:val="en-US"/>
          </w:rPr>
          <w:t>38.306</w:t>
        </w:r>
      </w:hyperlink>
      <w:r w:rsidR="00B96DE5">
        <w:rPr>
          <w:lang w:val="en-US"/>
        </w:rPr>
        <w:t>, the following is specified regarding number of SMTC windows.</w:t>
      </w:r>
    </w:p>
    <w:tbl>
      <w:tblPr>
        <w:tblStyle w:val="TableGrid"/>
        <w:tblW w:w="0" w:type="auto"/>
        <w:tblLook w:val="04A0" w:firstRow="1" w:lastRow="0" w:firstColumn="1" w:lastColumn="0" w:noHBand="0" w:noVBand="1"/>
      </w:tblPr>
      <w:tblGrid>
        <w:gridCol w:w="9631"/>
      </w:tblGrid>
      <w:tr w:rsidR="00B96DE5" w14:paraId="4F3CF415" w14:textId="77777777">
        <w:tc>
          <w:tcPr>
            <w:tcW w:w="9631" w:type="dxa"/>
          </w:tcPr>
          <w:p w14:paraId="4A691725" w14:textId="77777777" w:rsidR="00B96DE5" w:rsidRPr="004E6E79" w:rsidRDefault="00B96DE5">
            <w:pPr>
              <w:jc w:val="both"/>
              <w:rPr>
                <w:lang w:val="en-US"/>
              </w:rPr>
            </w:pPr>
            <w:r w:rsidRPr="004E6E79">
              <w:rPr>
                <w:b/>
                <w:bCs/>
                <w:i/>
                <w:iCs/>
                <w:lang w:val="en-US"/>
              </w:rPr>
              <w:t>parallelSMTC-r17</w:t>
            </w:r>
          </w:p>
          <w:p w14:paraId="289AA1C6" w14:textId="2FC4DE07" w:rsidR="00B96DE5" w:rsidRDefault="00B96DE5">
            <w:pPr>
              <w:jc w:val="both"/>
              <w:rPr>
                <w:lang w:val="en-US"/>
              </w:rPr>
            </w:pPr>
            <w:r w:rsidRPr="004E6E79">
              <w:rPr>
                <w:lang w:val="en-US"/>
              </w:rPr>
              <w:t>Indicates whether the UE supports NTN SSB based RRM measurements on target cells belonging to 4 SMTC-s on a single frequency carrier. If a UE does not include this field but includes </w:t>
            </w:r>
            <w:r w:rsidRPr="004E6E79">
              <w:rPr>
                <w:i/>
                <w:iCs/>
                <w:lang w:val="en-US"/>
              </w:rPr>
              <w:t>nonTerrestrialNetwork-r17</w:t>
            </w:r>
            <w:r w:rsidRPr="004E6E79">
              <w:rPr>
                <w:lang w:val="en-US"/>
              </w:rPr>
              <w:t>, the UE supports NTN SSB based RRM measurements on target cells belonging to 2 SMTC-s on a single frequency carrier.</w:t>
            </w:r>
          </w:p>
        </w:tc>
      </w:tr>
    </w:tbl>
    <w:p w14:paraId="35F1F4D5" w14:textId="1AF57761" w:rsidR="00530547" w:rsidRDefault="00D40BCA" w:rsidP="00D7307F">
      <w:pPr>
        <w:jc w:val="both"/>
      </w:pPr>
      <w:r>
        <w:t>As of this</w:t>
      </w:r>
      <w:r w:rsidR="00530547">
        <w:t xml:space="preserve">, configuring the SMTC windows may not be trivial due to 1) the sparce transmission pattern of the SSBs if chosen around </w:t>
      </w:r>
      <w:r w:rsidR="004C0634">
        <w:t>160</w:t>
      </w:r>
      <w:r w:rsidR="00530547">
        <w:t xml:space="preserve"> </w:t>
      </w:r>
      <w:proofErr w:type="spellStart"/>
      <w:r w:rsidR="00530547">
        <w:t>ms</w:t>
      </w:r>
      <w:proofErr w:type="spellEnd"/>
      <w:r w:rsidR="00530547">
        <w:t xml:space="preserve"> and 2)</w:t>
      </w:r>
      <w:r w:rsidR="00530547" w:rsidRPr="00530547">
        <w:rPr>
          <w:lang w:val="en-US"/>
        </w:rPr>
        <w:t xml:space="preserve"> </w:t>
      </w:r>
      <w:r w:rsidR="00530547">
        <w:rPr>
          <w:lang w:val="en-US"/>
        </w:rPr>
        <w:t xml:space="preserve">some UEs </w:t>
      </w:r>
      <w:r w:rsidR="00FF44DE">
        <w:rPr>
          <w:lang w:val="en-US"/>
        </w:rPr>
        <w:t>are limited to</w:t>
      </w:r>
      <w:r w:rsidR="00530547">
        <w:rPr>
          <w:lang w:val="en-US"/>
        </w:rPr>
        <w:t xml:space="preserve"> 2 SMTC windows</w:t>
      </w:r>
      <w:r w:rsidR="004E6E79">
        <w:rPr>
          <w:lang w:val="en-US"/>
        </w:rPr>
        <w:t>, whereas others may have 4</w:t>
      </w:r>
      <w:r w:rsidR="00530547">
        <w:t>.</w:t>
      </w:r>
    </w:p>
    <w:p w14:paraId="01B09741" w14:textId="6D4F98D4" w:rsidR="00530547" w:rsidRDefault="00530547" w:rsidP="00D7307F">
      <w:pPr>
        <w:jc w:val="both"/>
        <w:rPr>
          <w:lang w:val="en-US"/>
        </w:rPr>
      </w:pPr>
      <w:r>
        <w:rPr>
          <w:lang w:val="en-US"/>
        </w:rPr>
        <w:t xml:space="preserve">Looking in a common handover case in </w:t>
      </w:r>
      <w:r>
        <w:rPr>
          <w:lang w:val="en-US"/>
        </w:rPr>
        <w:fldChar w:fldCharType="begin"/>
      </w:r>
      <w:r>
        <w:rPr>
          <w:lang w:val="en-US"/>
        </w:rPr>
        <w:instrText xml:space="preserve"> REF _Ref178339976 \h </w:instrText>
      </w:r>
      <w:r>
        <w:rPr>
          <w:lang w:val="en-US"/>
        </w:rPr>
      </w:r>
      <w:r>
        <w:rPr>
          <w:lang w:val="en-US"/>
        </w:rPr>
        <w:fldChar w:fldCharType="separate"/>
      </w:r>
      <w:r w:rsidRPr="00221A25">
        <w:rPr>
          <w:lang w:val="en-US"/>
        </w:rPr>
        <w:t>Figure 1</w:t>
      </w:r>
      <w:r>
        <w:rPr>
          <w:lang w:val="en-US"/>
        </w:rPr>
        <w:fldChar w:fldCharType="end"/>
      </w:r>
      <w:r>
        <w:rPr>
          <w:lang w:val="en-US"/>
        </w:rPr>
        <w:t xml:space="preserve">, where a UE is served by cell #0 and should start measuring on cell #1 and #2, three scenarios for </w:t>
      </w:r>
      <w:r w:rsidR="00971CCA">
        <w:rPr>
          <w:lang w:val="en-US"/>
        </w:rPr>
        <w:t>neighbor</w:t>
      </w:r>
      <w:r>
        <w:rPr>
          <w:lang w:val="en-US"/>
        </w:rPr>
        <w:t xml:space="preserve"> cell SSB offset scenarios:</w:t>
      </w:r>
    </w:p>
    <w:p w14:paraId="48979582" w14:textId="287B5AF7" w:rsidR="00530547" w:rsidRDefault="00530547" w:rsidP="00530547">
      <w:pPr>
        <w:pStyle w:val="ListParagraph"/>
        <w:numPr>
          <w:ilvl w:val="0"/>
          <w:numId w:val="23"/>
        </w:numPr>
        <w:jc w:val="both"/>
        <w:rPr>
          <w:lang w:val="en-US"/>
        </w:rPr>
      </w:pPr>
      <w:r>
        <w:rPr>
          <w:lang w:val="en-US"/>
        </w:rPr>
        <w:t>SSB transmission pattern for cells #1-#6 are evenly spaced e.g. with the same SSB offset</w:t>
      </w:r>
    </w:p>
    <w:p w14:paraId="7BA5E0AC" w14:textId="565B23F0" w:rsidR="00530547" w:rsidRDefault="00530547" w:rsidP="00530547">
      <w:pPr>
        <w:pStyle w:val="ListParagraph"/>
        <w:numPr>
          <w:ilvl w:val="0"/>
          <w:numId w:val="23"/>
        </w:numPr>
        <w:jc w:val="both"/>
        <w:rPr>
          <w:lang w:val="en-US"/>
        </w:rPr>
      </w:pPr>
      <w:r>
        <w:rPr>
          <w:lang w:val="en-US"/>
        </w:rPr>
        <w:t>SSB transmission pattern for cells #1-#6 are close to each other in time e.g. start of the first SSB transmission is close to the start of the last SSB transmission within a group</w:t>
      </w:r>
    </w:p>
    <w:p w14:paraId="4A511F60" w14:textId="3BECBE57" w:rsidR="00530547" w:rsidRDefault="00530547" w:rsidP="00530547">
      <w:pPr>
        <w:pStyle w:val="ListParagraph"/>
        <w:numPr>
          <w:ilvl w:val="0"/>
          <w:numId w:val="23"/>
        </w:numPr>
        <w:jc w:val="both"/>
        <w:rPr>
          <w:lang w:val="en-US"/>
        </w:rPr>
      </w:pPr>
      <w:r>
        <w:rPr>
          <w:lang w:val="en-US"/>
        </w:rPr>
        <w:t xml:space="preserve">SSB transmission pattern for cells #1-#6 are placed </w:t>
      </w:r>
      <w:r w:rsidR="00E62751">
        <w:rPr>
          <w:lang w:val="en-US"/>
        </w:rPr>
        <w:t xml:space="preserve">without </w:t>
      </w:r>
      <w:r w:rsidR="00E62751" w:rsidRPr="00E62751">
        <w:rPr>
          <w:lang w:val="en-US"/>
        </w:rPr>
        <w:t>regular inter-cell SSB spacing</w:t>
      </w:r>
      <w:r w:rsidR="00E62751">
        <w:rPr>
          <w:lang w:val="en-US"/>
        </w:rPr>
        <w:t xml:space="preserve"> </w:t>
      </w:r>
      <w:r>
        <w:rPr>
          <w:lang w:val="en-US"/>
        </w:rPr>
        <w:t>e.g. there is no pattern between the individual spacing of the different SSB transmissions</w:t>
      </w:r>
    </w:p>
    <w:p w14:paraId="4DCCEB16" w14:textId="3F0ECAAB" w:rsidR="00530547" w:rsidRDefault="00530547" w:rsidP="00530547">
      <w:pPr>
        <w:jc w:val="both"/>
        <w:rPr>
          <w:lang w:val="en-US"/>
        </w:rPr>
      </w:pPr>
      <w:r>
        <w:rPr>
          <w:lang w:val="en-US"/>
        </w:rPr>
        <w:t xml:space="preserve">In case of 1, a single SMTC configuration may be sufficient to cover all possible </w:t>
      </w:r>
      <w:r w:rsidR="00B00443">
        <w:rPr>
          <w:lang w:val="en-US"/>
        </w:rPr>
        <w:t>neighbor</w:t>
      </w:r>
      <w:r>
        <w:rPr>
          <w:lang w:val="en-US"/>
        </w:rPr>
        <w:t xml:space="preserve"> cell measurements of cells #1-#6, but such mutual configuration will only be possible in a very few corner cases. For instance, if we assume the cells #1-#6 are configured to have a evenly spaced SSB offset, the </w:t>
      </w:r>
      <w:r w:rsidR="00B00443">
        <w:rPr>
          <w:lang w:val="en-US"/>
        </w:rPr>
        <w:t>neighbor</w:t>
      </w:r>
      <w:r>
        <w:rPr>
          <w:lang w:val="en-US"/>
        </w:rPr>
        <w:t xml:space="preserve"> cells to any of the cells within the picture will not be able to have similar lean configuration. Thus, in any case, we will end up needing an extension in the number of SMTC windows.</w:t>
      </w:r>
      <w:r w:rsidR="005A3A67">
        <w:rPr>
          <w:lang w:val="en-US"/>
        </w:rPr>
        <w:t xml:space="preserve"> </w:t>
      </w:r>
    </w:p>
    <w:p w14:paraId="39BB8D7D" w14:textId="65B6B889" w:rsidR="00530547" w:rsidRPr="00530547" w:rsidRDefault="00530547" w:rsidP="00530547">
      <w:pPr>
        <w:jc w:val="both"/>
        <w:rPr>
          <w:b/>
          <w:bCs/>
          <w:lang w:val="en-US"/>
        </w:rPr>
      </w:pPr>
      <w:r w:rsidRPr="00530547">
        <w:rPr>
          <w:b/>
          <w:bCs/>
          <w:lang w:val="en-US"/>
        </w:rPr>
        <w:t xml:space="preserve">Observation </w:t>
      </w:r>
      <w:r w:rsidR="00906B11">
        <w:rPr>
          <w:b/>
          <w:bCs/>
          <w:lang w:val="en-US"/>
        </w:rPr>
        <w:t>1</w:t>
      </w:r>
      <w:r w:rsidRPr="00530547">
        <w:rPr>
          <w:b/>
          <w:bCs/>
          <w:lang w:val="en-US"/>
        </w:rPr>
        <w:t>:</w:t>
      </w:r>
      <w:r>
        <w:rPr>
          <w:b/>
          <w:bCs/>
          <w:lang w:val="en-US"/>
        </w:rPr>
        <w:t xml:space="preserve"> SMTC configuration using the existing number of SMTC windows is not possible.</w:t>
      </w:r>
    </w:p>
    <w:p w14:paraId="0AB9C422" w14:textId="77777777" w:rsidR="00530547" w:rsidRDefault="00530547" w:rsidP="00530547">
      <w:pPr>
        <w:pStyle w:val="paragraph"/>
        <w:keepNext/>
        <w:spacing w:before="0" w:beforeAutospacing="0" w:after="0" w:afterAutospacing="0"/>
        <w:jc w:val="center"/>
        <w:textAlignment w:val="baseline"/>
      </w:pPr>
      <w:r>
        <w:rPr>
          <w:noProof/>
        </w:rPr>
        <w:lastRenderedPageBreak/>
        <w:drawing>
          <wp:inline distT="0" distB="0" distL="0" distR="0" wp14:anchorId="64316438" wp14:editId="55DE982D">
            <wp:extent cx="2679495" cy="2369150"/>
            <wp:effectExtent l="0" t="0" r="6985" b="0"/>
            <wp:docPr id="1242657944" name="Picture 1" descr="A cell phone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57944" name="Picture 1" descr="A cell phone screen shot&#10;&#10;Description automatically generated"/>
                    <pic:cNvPicPr/>
                  </pic:nvPicPr>
                  <pic:blipFill>
                    <a:blip r:embed="rId19"/>
                    <a:stretch>
                      <a:fillRect/>
                    </a:stretch>
                  </pic:blipFill>
                  <pic:spPr>
                    <a:xfrm>
                      <a:off x="0" y="0"/>
                      <a:ext cx="2679495" cy="2369150"/>
                    </a:xfrm>
                    <a:prstGeom prst="rect">
                      <a:avLst/>
                    </a:prstGeom>
                  </pic:spPr>
                </pic:pic>
              </a:graphicData>
            </a:graphic>
          </wp:inline>
        </w:drawing>
      </w:r>
    </w:p>
    <w:p w14:paraId="13A60C45" w14:textId="77777777" w:rsidR="00530547" w:rsidRDefault="00530547" w:rsidP="00530547">
      <w:pPr>
        <w:pStyle w:val="Caption"/>
        <w:jc w:val="center"/>
      </w:pPr>
      <w:bookmarkStart w:id="2" w:name="_Ref178676673"/>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figure of UE position in NR NTN cells</w:t>
      </w:r>
    </w:p>
    <w:p w14:paraId="0066FBED" w14:textId="0325F312" w:rsidR="00530547" w:rsidRDefault="00530547" w:rsidP="00D7307F">
      <w:pPr>
        <w:jc w:val="both"/>
        <w:rPr>
          <w:lang w:val="en-US"/>
        </w:rPr>
      </w:pPr>
      <w:r>
        <w:rPr>
          <w:lang w:val="en-US"/>
        </w:rPr>
        <w:t xml:space="preserve">Similar issue is present with the case 2, where a longer SMTC window is configured to cover a group of </w:t>
      </w:r>
      <w:r w:rsidR="005F5135">
        <w:rPr>
          <w:lang w:val="en-US"/>
        </w:rPr>
        <w:t>neighbor</w:t>
      </w:r>
      <w:r>
        <w:rPr>
          <w:lang w:val="en-US"/>
        </w:rPr>
        <w:t xml:space="preserve"> cell measurements. This is only a valid solution in case the SSB offsets are very close to each other, as otherwise the UE would measure for longer periods of time than needed and such scenarios can be assumed to be rare.</w:t>
      </w:r>
    </w:p>
    <w:p w14:paraId="12870C50" w14:textId="797C735A" w:rsidR="00530547" w:rsidRPr="00530547" w:rsidRDefault="00530547" w:rsidP="00D7307F">
      <w:pPr>
        <w:jc w:val="both"/>
        <w:rPr>
          <w:b/>
          <w:bCs/>
          <w:lang w:val="en-US"/>
        </w:rPr>
      </w:pPr>
      <w:r w:rsidRPr="00530547">
        <w:rPr>
          <w:b/>
          <w:bCs/>
          <w:lang w:val="en-US"/>
        </w:rPr>
        <w:t xml:space="preserve">Observation </w:t>
      </w:r>
      <w:r w:rsidR="00906B11">
        <w:rPr>
          <w:b/>
          <w:bCs/>
          <w:lang w:val="en-US"/>
        </w:rPr>
        <w:t>2</w:t>
      </w:r>
      <w:r w:rsidRPr="00530547">
        <w:rPr>
          <w:b/>
          <w:bCs/>
          <w:lang w:val="en-US"/>
        </w:rPr>
        <w:t>: Configuring SMTC windows covering group of SSB measurements will be very energy inefficient.</w:t>
      </w:r>
    </w:p>
    <w:p w14:paraId="0BE886C3" w14:textId="76FD495E" w:rsidR="00530547" w:rsidRDefault="00530547" w:rsidP="00D7307F">
      <w:pPr>
        <w:jc w:val="both"/>
        <w:rPr>
          <w:lang w:val="en-US"/>
        </w:rPr>
      </w:pPr>
      <w:r>
        <w:rPr>
          <w:lang w:val="en-US"/>
        </w:rPr>
        <w:t>Case 3 covers, in our view, a larger subset of all possible configurations that the UE will experience across the area covered by a single satellite, thus this is what should be focused.</w:t>
      </w:r>
    </w:p>
    <w:p w14:paraId="2E73D870" w14:textId="123CAD26" w:rsidR="00530547" w:rsidRDefault="00530547" w:rsidP="00D7307F">
      <w:pPr>
        <w:jc w:val="both"/>
        <w:rPr>
          <w:b/>
          <w:bCs/>
          <w:lang w:val="en-US"/>
        </w:rPr>
      </w:pPr>
      <w:r>
        <w:rPr>
          <w:b/>
          <w:bCs/>
          <w:lang w:val="en-US"/>
        </w:rPr>
        <w:t>Proposal</w:t>
      </w:r>
      <w:r w:rsidRPr="00530547">
        <w:rPr>
          <w:b/>
          <w:bCs/>
          <w:lang w:val="en-US"/>
        </w:rPr>
        <w:t xml:space="preserve"> </w:t>
      </w:r>
      <w:r w:rsidR="00511664">
        <w:rPr>
          <w:b/>
          <w:bCs/>
          <w:lang w:val="en-US"/>
        </w:rPr>
        <w:t>2</w:t>
      </w:r>
      <w:r>
        <w:rPr>
          <w:b/>
          <w:bCs/>
          <w:lang w:val="en-US"/>
        </w:rPr>
        <w:t>: RAN2 to assume that there is no distinct pattern to be configured e.g. for SMTC windows and at least the number of SMTC windows must be extended.</w:t>
      </w:r>
    </w:p>
    <w:p w14:paraId="7D87A736" w14:textId="5523F32B" w:rsidR="00530547" w:rsidRDefault="00530547" w:rsidP="00530547">
      <w:r>
        <w:t xml:space="preserve">Looking at </w:t>
      </w:r>
      <w:r>
        <w:fldChar w:fldCharType="begin"/>
      </w:r>
      <w:r>
        <w:instrText xml:space="preserve"> REF _Ref178676673 \h </w:instrText>
      </w:r>
      <w:r>
        <w:fldChar w:fldCharType="separate"/>
      </w:r>
      <w:r>
        <w:t xml:space="preserve">Figure </w:t>
      </w:r>
      <w:r>
        <w:rPr>
          <w:noProof/>
        </w:rPr>
        <w:t>1</w:t>
      </w:r>
      <w:r>
        <w:fldChar w:fldCharType="end"/>
      </w:r>
      <w:r>
        <w:t>, we also see that the number of cells that in principle, when approaching the cell edge, the UE should only measure a few cells continuously, as the other cells are not candidate cells. The effect of the increased number of SMTC windows, will be that the UE will be mandated to measure within all SMTC windows continuously, which may be energy inefficient.</w:t>
      </w:r>
    </w:p>
    <w:p w14:paraId="7FAFA15A" w14:textId="0E2D54DC" w:rsidR="00530547" w:rsidRDefault="00637712" w:rsidP="00530547">
      <w:pPr>
        <w:rPr>
          <w:b/>
          <w:bCs/>
        </w:rPr>
      </w:pPr>
      <w:r w:rsidRPr="00637712">
        <w:rPr>
          <w:b/>
          <w:bCs/>
        </w:rPr>
        <w:t xml:space="preserve">Observation </w:t>
      </w:r>
      <w:r w:rsidR="00906B11">
        <w:rPr>
          <w:b/>
          <w:bCs/>
        </w:rPr>
        <w:t>3</w:t>
      </w:r>
      <w:r w:rsidRPr="00637712">
        <w:rPr>
          <w:b/>
          <w:bCs/>
        </w:rPr>
        <w:t xml:space="preserve">: </w:t>
      </w:r>
      <w:r>
        <w:rPr>
          <w:b/>
          <w:bCs/>
        </w:rPr>
        <w:t>SMTC window configuration of all possible SSB transmissions of neighbouring cells is energy inefficient.</w:t>
      </w:r>
    </w:p>
    <w:p w14:paraId="7429B756" w14:textId="77777777" w:rsidR="0058646B" w:rsidRPr="00130FBE" w:rsidRDefault="00637712" w:rsidP="0058646B">
      <w:pPr>
        <w:spacing w:after="120"/>
        <w:rPr>
          <w:lang w:val="en-US"/>
        </w:rPr>
      </w:pPr>
      <w:r>
        <w:t xml:space="preserve">One potential solution is, that the SMTC window is location dependent, but this brings the issue that the NTN UE is required to be aware of </w:t>
      </w:r>
      <w:r w:rsidR="00F66243">
        <w:t xml:space="preserve">the neighbour cells </w:t>
      </w:r>
      <w:r w:rsidR="00C430EF">
        <w:t xml:space="preserve">SSB </w:t>
      </w:r>
      <w:r w:rsidR="009A4B4D">
        <w:t xml:space="preserve">transmission </w:t>
      </w:r>
      <w:r w:rsidR="00984F2A">
        <w:t>areas within the serving cell</w:t>
      </w:r>
      <w:r w:rsidR="009A4B4D">
        <w:t xml:space="preserve"> and correlate this with the UEs</w:t>
      </w:r>
      <w:r>
        <w:t xml:space="preserve"> own location relatively to the serving cell and neighbour cells location at all times.</w:t>
      </w:r>
      <w:r w:rsidR="00B01E84">
        <w:t xml:space="preserve"> </w:t>
      </w:r>
      <w:r w:rsidR="0058646B" w:rsidRPr="00130FBE">
        <w:rPr>
          <w:lang w:val="en-US"/>
        </w:rPr>
        <w:t>The network could provide area specific SMTC windows, but this would increase the overhead significantly, as the format in SIB2,3,4 would for instance go from</w:t>
      </w:r>
    </w:p>
    <w:p w14:paraId="7F6B5646" w14:textId="77777777" w:rsidR="0058646B" w:rsidRPr="00130FBE" w:rsidRDefault="0058646B" w:rsidP="0058646B">
      <w:pPr>
        <w:spacing w:after="120"/>
        <w:ind w:firstLine="284"/>
        <w:rPr>
          <w:rFonts w:ascii="Arial" w:hAnsi="Arial" w:cs="Arial"/>
          <w:sz w:val="14"/>
          <w:szCs w:val="14"/>
        </w:rPr>
      </w:pPr>
      <w:proofErr w:type="spellStart"/>
      <w:r w:rsidRPr="00130FBE">
        <w:rPr>
          <w:rFonts w:ascii="Arial" w:hAnsi="Arial" w:cs="Arial"/>
          <w:sz w:val="14"/>
          <w:szCs w:val="14"/>
        </w:rPr>
        <w:t>smtc</w:t>
      </w:r>
      <w:proofErr w:type="spellEnd"/>
      <w:r w:rsidRPr="00130FBE">
        <w:rPr>
          <w:rFonts w:ascii="Arial" w:hAnsi="Arial" w:cs="Arial"/>
          <w:sz w:val="14"/>
          <w:szCs w:val="14"/>
        </w:rPr>
        <w:t xml:space="preserve">                                SSB-MTC                                         OPTIONAL,       -- Need S</w:t>
      </w:r>
    </w:p>
    <w:p w14:paraId="53D9BB55" w14:textId="77777777" w:rsidR="0058646B" w:rsidRPr="00130FBE" w:rsidRDefault="0058646B" w:rsidP="0058646B">
      <w:pPr>
        <w:spacing w:after="120"/>
      </w:pPr>
      <w:r w:rsidRPr="00130FBE">
        <w:t>to</w:t>
      </w:r>
    </w:p>
    <w:p w14:paraId="62F4881D" w14:textId="77777777" w:rsidR="0058646B" w:rsidRPr="00130FBE" w:rsidRDefault="0058646B" w:rsidP="0058646B">
      <w:pPr>
        <w:spacing w:after="120"/>
        <w:ind w:firstLine="284"/>
        <w:rPr>
          <w:rFonts w:ascii="Arial" w:hAnsi="Arial" w:cs="Arial"/>
          <w:sz w:val="14"/>
          <w:szCs w:val="14"/>
        </w:rPr>
      </w:pPr>
      <w:r w:rsidRPr="00130FBE">
        <w:rPr>
          <w:rFonts w:ascii="Arial" w:hAnsi="Arial" w:cs="Arial"/>
          <w:sz w:val="14"/>
          <w:szCs w:val="14"/>
        </w:rPr>
        <w:t>smtc_area1                         SSB-MTC                                         OPTIONAL,       -- Need S</w:t>
      </w:r>
    </w:p>
    <w:p w14:paraId="5A16B160" w14:textId="77777777" w:rsidR="0058646B" w:rsidRPr="00130FBE" w:rsidRDefault="0058646B" w:rsidP="0058646B">
      <w:pPr>
        <w:spacing w:after="120"/>
        <w:ind w:firstLine="284"/>
        <w:rPr>
          <w:rFonts w:ascii="Arial" w:hAnsi="Arial" w:cs="Arial"/>
          <w:sz w:val="14"/>
          <w:szCs w:val="14"/>
        </w:rPr>
      </w:pPr>
      <w:r w:rsidRPr="00130FBE">
        <w:rPr>
          <w:rFonts w:ascii="Arial" w:hAnsi="Arial" w:cs="Arial"/>
          <w:sz w:val="14"/>
          <w:szCs w:val="14"/>
        </w:rPr>
        <w:t>area1</w:t>
      </w:r>
    </w:p>
    <w:p w14:paraId="339F9ED8" w14:textId="77777777" w:rsidR="0058646B" w:rsidRPr="00130FBE" w:rsidRDefault="0058646B" w:rsidP="0058646B">
      <w:pPr>
        <w:spacing w:after="120"/>
        <w:ind w:firstLine="284"/>
        <w:rPr>
          <w:rFonts w:ascii="Arial" w:hAnsi="Arial" w:cs="Arial"/>
          <w:sz w:val="14"/>
          <w:szCs w:val="14"/>
        </w:rPr>
      </w:pPr>
      <w:r w:rsidRPr="00130FBE">
        <w:rPr>
          <w:rFonts w:ascii="Arial" w:hAnsi="Arial" w:cs="Arial"/>
          <w:sz w:val="14"/>
          <w:szCs w:val="14"/>
        </w:rPr>
        <w:t>….</w:t>
      </w:r>
    </w:p>
    <w:p w14:paraId="0D9D9EB0" w14:textId="77777777" w:rsidR="0058646B" w:rsidRPr="00130FBE" w:rsidRDefault="0058646B" w:rsidP="0058646B">
      <w:pPr>
        <w:spacing w:after="120"/>
        <w:ind w:firstLine="284"/>
        <w:rPr>
          <w:rFonts w:ascii="Arial" w:hAnsi="Arial" w:cs="Arial"/>
          <w:sz w:val="14"/>
          <w:szCs w:val="14"/>
        </w:rPr>
      </w:pPr>
      <w:proofErr w:type="spellStart"/>
      <w:r>
        <w:rPr>
          <w:rFonts w:ascii="Arial" w:hAnsi="Arial" w:cs="Arial"/>
          <w:sz w:val="14"/>
          <w:szCs w:val="14"/>
        </w:rPr>
        <w:t>s</w:t>
      </w:r>
      <w:r w:rsidRPr="00130FBE">
        <w:rPr>
          <w:rFonts w:ascii="Arial" w:hAnsi="Arial" w:cs="Arial"/>
          <w:sz w:val="14"/>
          <w:szCs w:val="14"/>
        </w:rPr>
        <w:t>mtc_areax</w:t>
      </w:r>
      <w:proofErr w:type="spellEnd"/>
      <w:r w:rsidRPr="00130FBE">
        <w:rPr>
          <w:rFonts w:ascii="Arial" w:hAnsi="Arial" w:cs="Arial"/>
          <w:sz w:val="14"/>
          <w:szCs w:val="14"/>
        </w:rPr>
        <w:t xml:space="preserve">                         SSB-MTC                                         OPTIONAL,       -- Need S</w:t>
      </w:r>
    </w:p>
    <w:p w14:paraId="72DD6DB9" w14:textId="77777777" w:rsidR="0058646B" w:rsidRPr="00130FBE" w:rsidRDefault="0058646B" w:rsidP="0058646B">
      <w:pPr>
        <w:spacing w:after="120"/>
        <w:ind w:firstLine="284"/>
        <w:rPr>
          <w:rFonts w:ascii="Arial" w:hAnsi="Arial" w:cs="Arial"/>
          <w:sz w:val="14"/>
          <w:szCs w:val="14"/>
        </w:rPr>
      </w:pPr>
      <w:proofErr w:type="spellStart"/>
      <w:r w:rsidRPr="00130FBE">
        <w:rPr>
          <w:rFonts w:ascii="Arial" w:hAnsi="Arial" w:cs="Arial"/>
          <w:sz w:val="14"/>
          <w:szCs w:val="14"/>
        </w:rPr>
        <w:t>areax</w:t>
      </w:r>
      <w:proofErr w:type="spellEnd"/>
    </w:p>
    <w:p w14:paraId="33C73D5B" w14:textId="77777777" w:rsidR="0058646B" w:rsidRPr="00130FBE" w:rsidRDefault="0058646B" w:rsidP="0058646B">
      <w:pPr>
        <w:spacing w:after="120"/>
      </w:pPr>
      <w:r w:rsidRPr="00130FBE">
        <w:t xml:space="preserve">where the </w:t>
      </w:r>
      <w:proofErr w:type="spellStart"/>
      <w:r w:rsidRPr="00130FBE">
        <w:t>areax</w:t>
      </w:r>
      <w:proofErr w:type="spellEnd"/>
      <w:r w:rsidRPr="00130FBE">
        <w:t xml:space="preserve"> is the area where </w:t>
      </w:r>
      <w:proofErr w:type="spellStart"/>
      <w:r w:rsidRPr="00130FBE">
        <w:t>smtc_areax</w:t>
      </w:r>
      <w:proofErr w:type="spellEnd"/>
      <w:r w:rsidRPr="00130FBE">
        <w:t xml:space="preserve"> is to be applied. Depending on the area format the overhead can be considerable. </w:t>
      </w:r>
      <w:r w:rsidRPr="00FC303D">
        <w:t>Furthermore,</w:t>
      </w:r>
      <w:r w:rsidRPr="00130FBE">
        <w:t xml:space="preserve"> for some measurements like inter satellite measurements in active mode measurement gaps are needed, which would mean they also should be area dependent.</w:t>
      </w:r>
      <w:r>
        <w:t xml:space="preserve"> </w:t>
      </w:r>
      <w:r w:rsidRPr="00130FBE">
        <w:rPr>
          <w:lang w:val="en-US"/>
        </w:rPr>
        <w:t>An further additional drawback is that idle UEs would need to update their understanding of their own location through GNSS update and SIB reading in order to get the SMTC information belonging to their location.</w:t>
      </w:r>
    </w:p>
    <w:p w14:paraId="27D350B6" w14:textId="07C14172" w:rsidR="00637712" w:rsidRDefault="00637712" w:rsidP="00530547">
      <w:pPr>
        <w:rPr>
          <w:b/>
          <w:bCs/>
        </w:rPr>
      </w:pPr>
      <w:r>
        <w:rPr>
          <w:b/>
          <w:bCs/>
        </w:rPr>
        <w:t>Observation</w:t>
      </w:r>
      <w:r w:rsidRPr="00637712">
        <w:rPr>
          <w:b/>
          <w:bCs/>
        </w:rPr>
        <w:t xml:space="preserve"> </w:t>
      </w:r>
      <w:r w:rsidR="00906B11">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66BF4F02" w14:textId="222D7BBA" w:rsidR="00637712" w:rsidRDefault="00637712" w:rsidP="00530547">
      <w:pPr>
        <w:rPr>
          <w:b/>
          <w:bCs/>
        </w:rPr>
      </w:pPr>
      <w:r>
        <w:rPr>
          <w:b/>
          <w:bCs/>
        </w:rPr>
        <w:t xml:space="preserve">Observation </w:t>
      </w:r>
      <w:r w:rsidR="00906B11">
        <w:rPr>
          <w:b/>
          <w:bCs/>
        </w:rPr>
        <w:t>5</w:t>
      </w:r>
      <w:r>
        <w:rPr>
          <w:b/>
          <w:bCs/>
        </w:rPr>
        <w:t>: Location based SMTC configuration provide additional signalling overhead and requires a UE to be aware of the relative location between not only the gNB but also all neighbouring cells.</w:t>
      </w:r>
    </w:p>
    <w:p w14:paraId="2B277B3A" w14:textId="0E032B8D" w:rsidR="00012776" w:rsidRPr="00863F7D" w:rsidRDefault="00012776" w:rsidP="00012776">
      <w:pPr>
        <w:jc w:val="both"/>
        <w:rPr>
          <w:lang w:val="en-US"/>
        </w:rPr>
      </w:pPr>
      <w:r w:rsidRPr="00012776">
        <w:lastRenderedPageBreak/>
        <w:t>Another solution is</w:t>
      </w:r>
      <w:r>
        <w:rPr>
          <w:b/>
          <w:bCs/>
        </w:rPr>
        <w:t xml:space="preserve"> </w:t>
      </w:r>
      <w:r>
        <w:rPr>
          <w:lang w:val="en-US"/>
        </w:rPr>
        <w:t>that t</w:t>
      </w:r>
      <w:r w:rsidRPr="00863F7D">
        <w:rPr>
          <w:lang w:val="en-US"/>
        </w:rPr>
        <w:t>he UE could detect which neighboring cells are relevant by scanning over one or a few SSB periods. After thes</w:t>
      </w:r>
      <w:r>
        <w:rPr>
          <w:lang w:val="en-US"/>
        </w:rPr>
        <w:t>e</w:t>
      </w:r>
      <w:r w:rsidRPr="00863F7D">
        <w:rPr>
          <w:lang w:val="en-US"/>
        </w:rPr>
        <w:t xml:space="preserve"> scanning period</w:t>
      </w:r>
      <w:r>
        <w:rPr>
          <w:lang w:val="en-US"/>
        </w:rPr>
        <w:t>s</w:t>
      </w:r>
      <w:r w:rsidRPr="00863F7D">
        <w:rPr>
          <w:lang w:val="en-US"/>
        </w:rPr>
        <w:t xml:space="preserve"> the UE c</w:t>
      </w:r>
      <w:r>
        <w:rPr>
          <w:lang w:val="en-US"/>
        </w:rPr>
        <w:t>an</w:t>
      </w:r>
      <w:r w:rsidRPr="00863F7D">
        <w:rPr>
          <w:lang w:val="en-US"/>
        </w:rPr>
        <w:t xml:space="preserve"> limit the measurements and corresponding measurement occasions to the relevant neighboring cells</w:t>
      </w:r>
      <w:r>
        <w:rPr>
          <w:lang w:val="en-US"/>
        </w:rPr>
        <w:t>.</w:t>
      </w:r>
    </w:p>
    <w:p w14:paraId="18D9EFCE" w14:textId="219A807D" w:rsidR="00637712" w:rsidRDefault="00637712" w:rsidP="00637712">
      <w:r w:rsidRPr="63C7D12B">
        <w:rPr>
          <w:lang w:val="en-US"/>
        </w:rPr>
        <w:t>Furthermore, SSB transmission windows may not be fixed. The above example only considers the fact that a single cell transmits a single SSB periodically. However, if this is the case there may be no real data transmission</w:t>
      </w:r>
      <w:r w:rsidR="005124BE" w:rsidRPr="63C7D12B">
        <w:rPr>
          <w:lang w:val="en-US"/>
        </w:rPr>
        <w:t xml:space="preserve"> since all the </w:t>
      </w:r>
      <w:proofErr w:type="spellStart"/>
      <w:r w:rsidR="005124BE" w:rsidRPr="63C7D12B">
        <w:rPr>
          <w:lang w:val="en-US"/>
        </w:rPr>
        <w:t>gNBs</w:t>
      </w:r>
      <w:proofErr w:type="spellEnd"/>
      <w:r w:rsidR="005124BE" w:rsidRPr="63C7D12B">
        <w:rPr>
          <w:lang w:val="en-US"/>
        </w:rPr>
        <w:t xml:space="preserve"> will do is transmit half frames including SSBs.</w:t>
      </w:r>
      <w:r w:rsidRPr="63C7D12B">
        <w:rPr>
          <w:lang w:val="en-US"/>
        </w:rPr>
        <w:t xml:space="preserve"> </w:t>
      </w:r>
      <w:r w:rsidR="005124BE" w:rsidRPr="63C7D12B">
        <w:rPr>
          <w:lang w:val="en-US"/>
        </w:rPr>
        <w:t xml:space="preserve">This could result in the SMTCs being </w:t>
      </w:r>
      <w:r w:rsidR="005124BE">
        <w:t xml:space="preserve">dynamic, i.e. changes occasionally, and in such cases the serving cell may have to reconfigure the SMTC windows and measurement gaps through RRC </w:t>
      </w:r>
      <w:r w:rsidR="00E45570">
        <w:t>signalling</w:t>
      </w:r>
      <w:r w:rsidR="005124BE">
        <w:t xml:space="preserve"> may on top of that lead to extra </w:t>
      </w:r>
      <w:r w:rsidR="00530829">
        <w:t>signalling</w:t>
      </w:r>
      <w:r w:rsidR="005124BE">
        <w:t xml:space="preserve"> overhead.</w:t>
      </w:r>
    </w:p>
    <w:p w14:paraId="54B4DE41" w14:textId="31C2E2C0" w:rsidR="005124BE" w:rsidRPr="005124BE" w:rsidRDefault="005124BE" w:rsidP="00637712">
      <w:pPr>
        <w:rPr>
          <w:b/>
          <w:bCs/>
          <w:lang w:val="en-US"/>
        </w:rPr>
      </w:pPr>
      <w:r w:rsidRPr="005124BE">
        <w:rPr>
          <w:b/>
          <w:bCs/>
        </w:rPr>
        <w:t xml:space="preserve">Observation </w:t>
      </w:r>
      <w:r w:rsidR="00906B11">
        <w:rPr>
          <w:b/>
          <w:bCs/>
        </w:rPr>
        <w:t>6</w:t>
      </w:r>
      <w:r w:rsidRPr="005124BE">
        <w:rPr>
          <w:b/>
          <w:bCs/>
        </w:rPr>
        <w:t xml:space="preserve">: Optimal SMTC window configuration may be </w:t>
      </w:r>
      <w:r>
        <w:rPr>
          <w:b/>
          <w:bCs/>
        </w:rPr>
        <w:t>dynamic for a given UE if we account not only for SSB transmission but also data transmission.</w:t>
      </w:r>
    </w:p>
    <w:p w14:paraId="0B878CE8" w14:textId="236C9D44" w:rsidR="00637712" w:rsidRDefault="00637712" w:rsidP="00637712">
      <w:pPr>
        <w:rPr>
          <w:lang w:val="en-US"/>
        </w:rPr>
      </w:pPr>
      <w:r w:rsidRPr="0014224C">
        <w:rPr>
          <w:lang w:val="en-US"/>
        </w:rPr>
        <w:t xml:space="preserve">One way to avoid this overhead can be to </w:t>
      </w:r>
      <w:r>
        <w:rPr>
          <w:lang w:val="en-US"/>
        </w:rPr>
        <w:t xml:space="preserve">instead </w:t>
      </w:r>
      <w:r w:rsidRPr="0014224C">
        <w:rPr>
          <w:lang w:val="en-US"/>
        </w:rPr>
        <w:t xml:space="preserve">provide the UE with information about the neighboring cell SSB </w:t>
      </w:r>
      <w:r>
        <w:rPr>
          <w:lang w:val="en-US"/>
        </w:rPr>
        <w:t>configuration</w:t>
      </w:r>
      <w:r w:rsidRPr="0014224C">
        <w:rPr>
          <w:lang w:val="en-US"/>
        </w:rPr>
        <w:t xml:space="preserve">, such the UE can adjust its behavior, like skipping a measurement gap when it knows the neighboring cells have gone to a lower SSB </w:t>
      </w:r>
      <w:r>
        <w:rPr>
          <w:lang w:val="en-US"/>
        </w:rPr>
        <w:t>periodicity</w:t>
      </w:r>
      <w:r w:rsidRPr="0014224C">
        <w:rPr>
          <w:lang w:val="en-US"/>
        </w:rPr>
        <w:t>.</w:t>
      </w:r>
      <w:r>
        <w:rPr>
          <w:lang w:val="en-US"/>
        </w:rPr>
        <w:t xml:space="preserve"> Likewise, the cell could provide information on for how long the neighbor cells are in a certain state (common signal only, or active with UL/DL traffic), allowing a UE to make reasonable decisions about when to read the SSBs considering the UEs own state.</w:t>
      </w:r>
    </w:p>
    <w:p w14:paraId="1D567CF1" w14:textId="197F9639" w:rsidR="00A1764B" w:rsidRPr="00863F7D" w:rsidRDefault="00A1764B" w:rsidP="00A1764B">
      <w:pPr>
        <w:jc w:val="both"/>
        <w:rPr>
          <w:lang w:val="en-US"/>
        </w:rPr>
      </w:pPr>
      <w:r w:rsidRPr="00292ACF">
        <w:t xml:space="preserve">Cell specific measurements of the SSBs are most needed at times of initial access and during mobility events. </w:t>
      </w:r>
      <w:r>
        <w:t xml:space="preserve">During mobility the measurements are used to find the candidate cell and to synchronize to the new cell. </w:t>
      </w:r>
      <w:r w:rsidRPr="00863F7D">
        <w:rPr>
          <w:lang w:val="en-US"/>
        </w:rPr>
        <w:t>Having the SSBs less frequent available during the mobility may de</w:t>
      </w:r>
      <w:r>
        <w:rPr>
          <w:lang w:val="en-US"/>
        </w:rPr>
        <w:t>grade the performance</w:t>
      </w:r>
      <w:r w:rsidRPr="00863F7D">
        <w:rPr>
          <w:lang w:val="en-US"/>
        </w:rPr>
        <w:t>. In case of Earth Fixed Cells (</w:t>
      </w:r>
      <w:r w:rsidR="00D67EAD">
        <w:rPr>
          <w:lang w:val="en-US"/>
        </w:rPr>
        <w:t>EFC</w:t>
      </w:r>
      <w:r w:rsidRPr="00863F7D">
        <w:rPr>
          <w:lang w:val="en-US"/>
        </w:rPr>
        <w:t xml:space="preserve">) the mobility events are well defined and deterministic. </w:t>
      </w:r>
      <w:r w:rsidRPr="00C41475">
        <w:rPr>
          <w:lang w:val="en-US"/>
        </w:rPr>
        <w:t>To</w:t>
      </w:r>
      <w:r w:rsidRPr="00863F7D">
        <w:rPr>
          <w:lang w:val="en-US"/>
        </w:rPr>
        <w:t xml:space="preserve"> optimize the mobility performance, the SSB periodicity of the candidate cell may during the mobility event set to a lower value in order to maximize the mobility performance. </w:t>
      </w:r>
    </w:p>
    <w:p w14:paraId="196B1BB4" w14:textId="3F400969" w:rsidR="00637712" w:rsidRDefault="005124BE" w:rsidP="00637712">
      <w:pPr>
        <w:rPr>
          <w:b/>
          <w:bCs/>
          <w:lang w:val="en-US"/>
        </w:rPr>
      </w:pPr>
      <w:r>
        <w:rPr>
          <w:b/>
          <w:bCs/>
          <w:lang w:val="en-US"/>
        </w:rPr>
        <w:t xml:space="preserve">Proposal </w:t>
      </w:r>
      <w:r w:rsidR="00511664">
        <w:rPr>
          <w:b/>
          <w:bCs/>
          <w:lang w:val="en-US"/>
        </w:rPr>
        <w:t>3</w:t>
      </w:r>
      <w:r>
        <w:rPr>
          <w:b/>
          <w:bCs/>
          <w:lang w:val="en-US"/>
        </w:rPr>
        <w:t xml:space="preserve">: RAN2 to study at least </w:t>
      </w:r>
      <w:r w:rsidR="00D54A19">
        <w:rPr>
          <w:b/>
          <w:bCs/>
          <w:lang w:val="en-US"/>
        </w:rPr>
        <w:t>four</w:t>
      </w:r>
      <w:r>
        <w:rPr>
          <w:b/>
          <w:bCs/>
          <w:lang w:val="en-US"/>
        </w:rPr>
        <w:t xml:space="preserve"> aspects of downlink coverage enhancements</w:t>
      </w:r>
    </w:p>
    <w:p w14:paraId="180DEDB7" w14:textId="0978331D" w:rsidR="005124BE" w:rsidRDefault="005124BE" w:rsidP="005124BE">
      <w:pPr>
        <w:pStyle w:val="ListParagraph"/>
        <w:numPr>
          <w:ilvl w:val="0"/>
          <w:numId w:val="24"/>
        </w:numPr>
        <w:rPr>
          <w:b/>
          <w:bCs/>
          <w:lang w:val="en-US"/>
        </w:rPr>
      </w:pPr>
      <w:r>
        <w:rPr>
          <w:b/>
          <w:bCs/>
          <w:lang w:val="en-US"/>
        </w:rPr>
        <w:t>Increasing the number and duration of SMTC windows;</w:t>
      </w:r>
    </w:p>
    <w:p w14:paraId="2E7D1031" w14:textId="1E941C1E" w:rsidR="005124BE" w:rsidRPr="005F24E7" w:rsidRDefault="004C0634" w:rsidP="005124BE">
      <w:pPr>
        <w:pStyle w:val="ListParagraph"/>
        <w:numPr>
          <w:ilvl w:val="0"/>
          <w:numId w:val="24"/>
        </w:numPr>
        <w:rPr>
          <w:b/>
          <w:bCs/>
          <w:lang w:val="en-US"/>
        </w:rPr>
      </w:pPr>
      <w:r>
        <w:rPr>
          <w:b/>
          <w:bCs/>
          <w:lang w:val="en-US"/>
        </w:rPr>
        <w:t>Enabling a</w:t>
      </w:r>
      <w:r w:rsidR="005124BE" w:rsidRPr="001D5D6F">
        <w:rPr>
          <w:b/>
          <w:lang w:val="en-US"/>
        </w:rPr>
        <w:t xml:space="preserve"> UE</w:t>
      </w:r>
      <w:r>
        <w:rPr>
          <w:b/>
          <w:lang w:val="en-US"/>
        </w:rPr>
        <w:t xml:space="preserve"> to</w:t>
      </w:r>
      <w:r w:rsidR="005124BE" w:rsidRPr="001D5D6F">
        <w:rPr>
          <w:b/>
          <w:lang w:val="en-US"/>
        </w:rPr>
        <w:t xml:space="preserve"> scan for ne</w:t>
      </w:r>
      <w:r w:rsidR="005124BE">
        <w:rPr>
          <w:b/>
          <w:lang w:val="en-US"/>
        </w:rPr>
        <w:t>i</w:t>
      </w:r>
      <w:r w:rsidR="005124BE" w:rsidRPr="001D5D6F">
        <w:rPr>
          <w:b/>
          <w:lang w:val="en-US"/>
        </w:rPr>
        <w:t>ghbor</w:t>
      </w:r>
      <w:r w:rsidR="005124BE">
        <w:rPr>
          <w:b/>
          <w:lang w:val="en-US"/>
        </w:rPr>
        <w:t>ing cells</w:t>
      </w:r>
      <w:r w:rsidR="005124BE" w:rsidRPr="001D5D6F">
        <w:rPr>
          <w:b/>
          <w:lang w:val="en-US"/>
        </w:rPr>
        <w:t xml:space="preserve"> </w:t>
      </w:r>
      <w:r w:rsidR="005124BE">
        <w:rPr>
          <w:b/>
          <w:lang w:val="en-US"/>
        </w:rPr>
        <w:t xml:space="preserve">over a period and </w:t>
      </w:r>
      <w:r>
        <w:rPr>
          <w:b/>
          <w:lang w:val="en-US"/>
        </w:rPr>
        <w:t>autonomous</w:t>
      </w:r>
      <w:r w:rsidR="005124BE">
        <w:rPr>
          <w:b/>
          <w:lang w:val="en-US"/>
        </w:rPr>
        <w:t xml:space="preserve"> limit the measurements afterwards to the relevant cells</w:t>
      </w:r>
      <w:r>
        <w:rPr>
          <w:b/>
          <w:lang w:val="en-US"/>
        </w:rPr>
        <w:t xml:space="preserve"> based on measurements</w:t>
      </w:r>
    </w:p>
    <w:p w14:paraId="4AB8E108" w14:textId="6AAE5F35" w:rsidR="00530829" w:rsidRPr="00D77B6F" w:rsidRDefault="006300EC" w:rsidP="00530829">
      <w:pPr>
        <w:pStyle w:val="ListParagraph"/>
        <w:numPr>
          <w:ilvl w:val="0"/>
          <w:numId w:val="24"/>
        </w:numPr>
        <w:rPr>
          <w:b/>
          <w:bCs/>
          <w:lang w:val="en-US"/>
        </w:rPr>
      </w:pPr>
      <w:r>
        <w:rPr>
          <w:b/>
        </w:rPr>
        <w:t>S</w:t>
      </w:r>
      <w:r w:rsidR="005F24E7">
        <w:rPr>
          <w:b/>
        </w:rPr>
        <w:t>etting the SSB period to a lower value during mobility events in case of Earth Fixed Cells.</w:t>
      </w:r>
    </w:p>
    <w:p w14:paraId="62E4FDED" w14:textId="33076CE9" w:rsidR="00D77B6F" w:rsidRDefault="00D77B6F" w:rsidP="00D77B6F">
      <w:pPr>
        <w:pStyle w:val="Heading2"/>
      </w:pPr>
      <w:r>
        <w:t>2.</w:t>
      </w:r>
      <w:r w:rsidR="00FD7E39">
        <w:t>2</w:t>
      </w:r>
      <w:r>
        <w:tab/>
        <w:t>Cell barring</w:t>
      </w:r>
    </w:p>
    <w:p w14:paraId="75C71012" w14:textId="423430A8" w:rsidR="00A23CC5" w:rsidRPr="00130FBE" w:rsidRDefault="00A23CC5" w:rsidP="00A23CC5">
      <w:pPr>
        <w:pStyle w:val="paragraph"/>
        <w:spacing w:before="0" w:beforeAutospacing="0" w:after="120" w:afterAutospacing="0" w:line="240" w:lineRule="auto"/>
        <w:jc w:val="both"/>
        <w:textAlignment w:val="baseline"/>
        <w:rPr>
          <w:rFonts w:ascii="Times New Roman" w:hAnsi="Times New Roman" w:cs="Times New Roman"/>
          <w:sz w:val="20"/>
          <w:szCs w:val="20"/>
        </w:rPr>
      </w:pPr>
      <w:r w:rsidRPr="00130FBE">
        <w:rPr>
          <w:rFonts w:ascii="Times New Roman" w:hAnsi="Times New Roman" w:cs="Times New Roman"/>
          <w:sz w:val="20"/>
          <w:szCs w:val="20"/>
        </w:rPr>
        <w:t xml:space="preserve">RAN2 agreed in </w:t>
      </w:r>
      <w:hyperlink r:id="rId20" w:history="1">
        <w:r w:rsidRPr="006A3155">
          <w:rPr>
            <w:rStyle w:val="Hyperlink"/>
            <w:rFonts w:ascii="Times New Roman" w:hAnsi="Times New Roman" w:cs="Times New Roman"/>
            <w:sz w:val="20"/>
            <w:szCs w:val="20"/>
          </w:rPr>
          <w:t>RAN</w:t>
        </w:r>
        <w:r w:rsidR="009436B9" w:rsidRPr="006A3155">
          <w:rPr>
            <w:rStyle w:val="Hyperlink"/>
            <w:rFonts w:ascii="Times New Roman" w:hAnsi="Times New Roman" w:cs="Times New Roman"/>
            <w:sz w:val="20"/>
            <w:szCs w:val="20"/>
          </w:rPr>
          <w:t xml:space="preserve"> #</w:t>
        </w:r>
        <w:r w:rsidRPr="006A3155">
          <w:rPr>
            <w:rStyle w:val="Hyperlink"/>
            <w:rFonts w:ascii="Times New Roman" w:hAnsi="Times New Roman" w:cs="Times New Roman"/>
            <w:sz w:val="20"/>
            <w:szCs w:val="20"/>
          </w:rPr>
          <w:t>127bis</w:t>
        </w:r>
      </w:hyperlink>
      <w:r w:rsidRPr="00130FBE">
        <w:rPr>
          <w:rFonts w:ascii="Times New Roman" w:hAnsi="Times New Roman" w:cs="Times New Roman"/>
          <w:sz w:val="20"/>
          <w:szCs w:val="20"/>
        </w:rPr>
        <w:t xml:space="preserve"> to introduce a barring </w:t>
      </w:r>
      <w:r>
        <w:rPr>
          <w:rFonts w:ascii="Times New Roman" w:hAnsi="Times New Roman" w:cs="Times New Roman"/>
          <w:sz w:val="20"/>
          <w:szCs w:val="20"/>
        </w:rPr>
        <w:t>mechanism</w:t>
      </w:r>
      <w:r w:rsidRPr="00130FBE">
        <w:rPr>
          <w:rFonts w:ascii="Times New Roman" w:hAnsi="Times New Roman" w:cs="Times New Roman"/>
          <w:sz w:val="20"/>
          <w:szCs w:val="20"/>
        </w:rPr>
        <w:t xml:space="preserve"> to avoid rel-17 and Rel-</w:t>
      </w:r>
      <w:r w:rsidR="00282EB3">
        <w:rPr>
          <w:rFonts w:ascii="Times New Roman" w:hAnsi="Times New Roman" w:cs="Times New Roman"/>
          <w:sz w:val="20"/>
          <w:szCs w:val="20"/>
        </w:rPr>
        <w:t>1</w:t>
      </w:r>
      <w:r w:rsidR="00282EB3" w:rsidRPr="00130FBE">
        <w:rPr>
          <w:rFonts w:ascii="Times New Roman" w:hAnsi="Times New Roman" w:cs="Times New Roman"/>
          <w:sz w:val="20"/>
          <w:szCs w:val="20"/>
        </w:rPr>
        <w:t xml:space="preserve">8 </w:t>
      </w:r>
      <w:r w:rsidRPr="00130FBE">
        <w:rPr>
          <w:rFonts w:ascii="Times New Roman" w:hAnsi="Times New Roman" w:cs="Times New Roman"/>
          <w:sz w:val="20"/>
          <w:szCs w:val="20"/>
        </w:rPr>
        <w:t>UE to access a Rel-19 cell with extended SSB periodicity:</w:t>
      </w:r>
    </w:p>
    <w:p w14:paraId="70C08656"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Agreements:</w:t>
      </w:r>
    </w:p>
    <w:p w14:paraId="24EE7E91"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1.</w:t>
      </w:r>
      <w:r w:rsidRPr="00130FBE">
        <w:rPr>
          <w:rFonts w:ascii="Times New Roman" w:hAnsi="Times New Roman" w:cs="Times New Roman"/>
          <w:sz w:val="20"/>
          <w:szCs w:val="20"/>
        </w:rPr>
        <w:tab/>
        <w:t xml:space="preserve">If it turns out that there is a need to bar UEs not supporting DL-CE, Rel-19 UEs not supporting DL-CE can be barred from accessing a cell operating with DL-CE </w:t>
      </w:r>
      <w:r w:rsidRPr="00B01742">
        <w:rPr>
          <w:rFonts w:ascii="Times New Roman" w:hAnsi="Times New Roman" w:cs="Times New Roman"/>
          <w:sz w:val="20"/>
          <w:szCs w:val="20"/>
          <w:highlight w:val="yellow"/>
        </w:rPr>
        <w:t>using the existing NTN bar bit</w:t>
      </w:r>
      <w:r w:rsidRPr="00130FBE">
        <w:rPr>
          <w:rFonts w:ascii="Times New Roman" w:hAnsi="Times New Roman" w:cs="Times New Roman"/>
          <w:sz w:val="20"/>
          <w:szCs w:val="20"/>
        </w:rPr>
        <w:t>, in the same way as pre-Rel19 NTN UEs (this is an extension of the previous agreement to include also Rel-19 UE not supporting DL-CE)</w:t>
      </w:r>
    </w:p>
    <w:p w14:paraId="6C7A34C0"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2.</w:t>
      </w:r>
      <w:r w:rsidRPr="00130FBE">
        <w:rPr>
          <w:rFonts w:ascii="Times New Roman" w:hAnsi="Times New Roman" w:cs="Times New Roman"/>
          <w:sz w:val="20"/>
          <w:szCs w:val="20"/>
        </w:rPr>
        <w:tab/>
        <w:t xml:space="preserve">If it turns out that there is a need to bar UEs not supporting DL-CE, then we need </w:t>
      </w:r>
      <w:r w:rsidRPr="001A7021">
        <w:rPr>
          <w:rFonts w:ascii="Times New Roman" w:hAnsi="Times New Roman" w:cs="Times New Roman"/>
          <w:sz w:val="20"/>
          <w:szCs w:val="20"/>
          <w:highlight w:val="yellow"/>
        </w:rPr>
        <w:t>to introduce a barring mechanism to control access of UEs supporting Rel19 NTN DL-CE</w:t>
      </w:r>
      <w:r w:rsidRPr="00130FBE">
        <w:rPr>
          <w:rFonts w:ascii="Times New Roman" w:hAnsi="Times New Roman" w:cs="Times New Roman"/>
          <w:sz w:val="20"/>
          <w:szCs w:val="20"/>
        </w:rPr>
        <w:t>. FFS on the details. (This also implies that UEs supporting Rel19 NTN DL-CE will not consider the existing NTN barring bit)</w:t>
      </w:r>
    </w:p>
    <w:p w14:paraId="27468CCF"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3.</w:t>
      </w:r>
      <w:r w:rsidRPr="00130FBE">
        <w:rPr>
          <w:rFonts w:ascii="Times New Roman" w:hAnsi="Times New Roman" w:cs="Times New Roman"/>
          <w:sz w:val="20"/>
          <w:szCs w:val="20"/>
        </w:rPr>
        <w:tab/>
        <w:t>(also depending on the details of the RAN1 solution) we can further consider methods to allow UEs not supporting DL CE to down-prioritize or prevent re-selection to cells operating with DL CE.</w:t>
      </w:r>
    </w:p>
    <w:p w14:paraId="1C1DBB56" w14:textId="014A2B70" w:rsidR="00AE31DA" w:rsidRDefault="00244513" w:rsidP="00917DB0">
      <w:pPr>
        <w:pStyle w:val="paragraph"/>
        <w:spacing w:after="12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Furthermore, </w:t>
      </w:r>
      <w:r w:rsidR="00D10D7B">
        <w:rPr>
          <w:rFonts w:ascii="Times New Roman" w:hAnsi="Times New Roman" w:cs="Times New Roman"/>
          <w:sz w:val="20"/>
          <w:szCs w:val="20"/>
        </w:rPr>
        <w:t xml:space="preserve">RAN2 agreed in </w:t>
      </w:r>
      <w:hyperlink r:id="rId21" w:history="1">
        <w:r w:rsidR="00D10D7B" w:rsidRPr="00F710ED">
          <w:rPr>
            <w:rStyle w:val="Hyperlink"/>
            <w:rFonts w:ascii="Times New Roman" w:hAnsi="Times New Roman" w:cs="Times New Roman"/>
            <w:sz w:val="20"/>
            <w:szCs w:val="20"/>
          </w:rPr>
          <w:t>RAN</w:t>
        </w:r>
        <w:r w:rsidR="00884C6B" w:rsidRPr="00F710ED">
          <w:rPr>
            <w:rStyle w:val="Hyperlink"/>
            <w:rFonts w:ascii="Times New Roman" w:hAnsi="Times New Roman" w:cs="Times New Roman"/>
            <w:sz w:val="20"/>
            <w:szCs w:val="20"/>
          </w:rPr>
          <w:t>2 #</w:t>
        </w:r>
        <w:r w:rsidR="00D10D7B" w:rsidRPr="00F710ED">
          <w:rPr>
            <w:rStyle w:val="Hyperlink"/>
            <w:rFonts w:ascii="Times New Roman" w:hAnsi="Times New Roman" w:cs="Times New Roman"/>
            <w:sz w:val="20"/>
            <w:szCs w:val="20"/>
          </w:rPr>
          <w:t>128</w:t>
        </w:r>
      </w:hyperlink>
      <w:r w:rsidR="00D10D7B">
        <w:rPr>
          <w:rFonts w:ascii="Times New Roman" w:hAnsi="Times New Roman" w:cs="Times New Roman"/>
          <w:sz w:val="20"/>
          <w:szCs w:val="20"/>
        </w:rPr>
        <w:t xml:space="preserve"> that</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31"/>
      </w:tblGrid>
      <w:tr w:rsidR="00244513" w14:paraId="7D4D898F" w14:textId="77777777" w:rsidTr="00244513">
        <w:tc>
          <w:tcPr>
            <w:tcW w:w="9631" w:type="dxa"/>
          </w:tcPr>
          <w:p w14:paraId="680AB1A2" w14:textId="03F4FF29" w:rsidR="00244513" w:rsidRPr="00FA3FC4" w:rsidRDefault="00244513" w:rsidP="00244513">
            <w:pPr>
              <w:pStyle w:val="paragraph"/>
              <w:spacing w:after="120"/>
              <w:jc w:val="both"/>
              <w:textAlignment w:val="baseline"/>
              <w:rPr>
                <w:rFonts w:ascii="Times New Roman" w:hAnsi="Times New Roman" w:cs="Times New Roman"/>
                <w:sz w:val="20"/>
                <w:szCs w:val="20"/>
                <w:lang w:val="en-GB"/>
              </w:rPr>
            </w:pPr>
            <w:r w:rsidRPr="00244513">
              <w:rPr>
                <w:rFonts w:ascii="Times New Roman" w:hAnsi="Times New Roman" w:cs="Times New Roman"/>
                <w:sz w:val="20"/>
                <w:szCs w:val="20"/>
                <w:lang w:val="en-GB"/>
              </w:rPr>
              <w:t>1.    If we need to bar UEs not supporting DL-CE (via legacy mechanism</w:t>
            </w:r>
            <w:r w:rsidRPr="00FA3FC4">
              <w:rPr>
                <w:rFonts w:ascii="Times New Roman" w:hAnsi="Times New Roman" w:cs="Times New Roman"/>
                <w:sz w:val="20"/>
                <w:szCs w:val="20"/>
                <w:highlight w:val="yellow"/>
                <w:lang w:val="en-GB"/>
              </w:rPr>
              <w:t>), we introduce a new barring in SIB1 to be able to selectively bar “UEs supporting DL-CE”</w:t>
            </w:r>
            <w:r w:rsidRPr="00244513">
              <w:rPr>
                <w:rFonts w:ascii="Times New Roman" w:hAnsi="Times New Roman" w:cs="Times New Roman"/>
                <w:sz w:val="20"/>
                <w:szCs w:val="20"/>
                <w:lang w:val="en-GB"/>
              </w:rPr>
              <w:t xml:space="preserve"> (FFS if we will finally refer to “UEs supporting extended SSB periodicity” instead). FFS on the details (e.g. how many bits, etc.)</w:t>
            </w:r>
          </w:p>
        </w:tc>
      </w:tr>
    </w:tbl>
    <w:p w14:paraId="7895FF5D" w14:textId="48DF3B1D" w:rsidR="005E2673" w:rsidRDefault="005E2673" w:rsidP="005E2673">
      <w:pPr>
        <w:spacing w:before="240"/>
        <w:rPr>
          <w:lang w:val="en-US"/>
        </w:rPr>
      </w:pPr>
      <w:r>
        <w:rPr>
          <w:lang w:val="en-US"/>
        </w:rPr>
        <w:t xml:space="preserve">There is still a need to discuss how this new barring bit would interact with the existing barring bits. There are two existing barring bits that are relevant are: </w:t>
      </w:r>
      <w:proofErr w:type="spellStart"/>
      <w:r>
        <w:rPr>
          <w:lang w:val="en-US"/>
        </w:rPr>
        <w:t>cellBarred</w:t>
      </w:r>
      <w:proofErr w:type="spellEnd"/>
      <w:r>
        <w:rPr>
          <w:lang w:val="en-US"/>
        </w:rPr>
        <w:t xml:space="preserve"> and </w:t>
      </w:r>
      <w:proofErr w:type="spellStart"/>
      <w:r>
        <w:rPr>
          <w:lang w:val="en-US"/>
        </w:rPr>
        <w:t>cellBarred</w:t>
      </w:r>
      <w:proofErr w:type="spellEnd"/>
      <w:r>
        <w:rPr>
          <w:lang w:val="en-US"/>
        </w:rPr>
        <w:t xml:space="preserve">-NTN, which can be “barred” or “not barred”. From 38.304, we have that: </w:t>
      </w:r>
    </w:p>
    <w:tbl>
      <w:tblPr>
        <w:tblStyle w:val="TableGrid"/>
        <w:tblW w:w="0" w:type="auto"/>
        <w:tblLook w:val="04A0" w:firstRow="1" w:lastRow="0" w:firstColumn="1" w:lastColumn="0" w:noHBand="0" w:noVBand="1"/>
      </w:tblPr>
      <w:tblGrid>
        <w:gridCol w:w="9631"/>
      </w:tblGrid>
      <w:tr w:rsidR="00DD4932" w14:paraId="55C272FF" w14:textId="77777777" w:rsidTr="00DD4932">
        <w:tc>
          <w:tcPr>
            <w:tcW w:w="9631" w:type="dxa"/>
          </w:tcPr>
          <w:p w14:paraId="7F4D656D" w14:textId="77777777" w:rsidR="00DD4932" w:rsidRDefault="00DD4932" w:rsidP="00DD4932">
            <w:r w:rsidRPr="006E07A4">
              <w:lastRenderedPageBreak/>
              <w:t xml:space="preserve">- </w:t>
            </w:r>
            <w:proofErr w:type="spellStart"/>
            <w:r w:rsidRPr="006E07A4">
              <w:t>cellBarred</w:t>
            </w:r>
            <w:proofErr w:type="spellEnd"/>
            <w:r w:rsidRPr="006E07A4">
              <w:t xml:space="preserve"> (IE type: "barred" or "not barred") Indicated in MIB message. In case of multiple PLMNs or NPNs indicated in SIB1, this field is common for all PLMNs and NPNs. This field is ignored by UEs supporting NTN for NTN access, or by UEs supporting ATG for ATG access.</w:t>
            </w:r>
          </w:p>
          <w:p w14:paraId="641A086F" w14:textId="5739041A" w:rsidR="00DD4932" w:rsidRDefault="00DD4932" w:rsidP="00DD4932">
            <w:pPr>
              <w:spacing w:before="240"/>
              <w:rPr>
                <w:lang w:val="en-US"/>
              </w:rPr>
            </w:pPr>
            <w:r>
              <w:t xml:space="preserve">- </w:t>
            </w:r>
            <w:proofErr w:type="spellStart"/>
            <w:r w:rsidRPr="00E1570B">
              <w:t>cellBarredNTN</w:t>
            </w:r>
            <w:proofErr w:type="spellEnd"/>
            <w:r w:rsidRPr="00E1570B">
              <w:t xml:space="preserve"> (IE type: "barred" or "not barred") Indicated in SIB1 message. In case of multiple PLMNs indicated in SIB1, this field is common for all PLMNs. This field is ignored if the UE does not support NTN access.</w:t>
            </w:r>
          </w:p>
        </w:tc>
      </w:tr>
    </w:tbl>
    <w:p w14:paraId="3E543B24" w14:textId="418B965D" w:rsidR="00B66774" w:rsidRPr="00B66774" w:rsidRDefault="005E2673" w:rsidP="00FA3FC4">
      <w:pPr>
        <w:spacing w:before="240"/>
      </w:pPr>
      <w:r>
        <w:t>O</w:t>
      </w:r>
      <w:r w:rsidR="00895482">
        <w:t xml:space="preserve">ne concern w.r.t barring is, that </w:t>
      </w:r>
      <w:r w:rsidR="00482D98">
        <w:t>since NTN and NR can coexist enabling DL-CE specific barring would mean that the network</w:t>
      </w:r>
      <w:r w:rsidR="00B66774">
        <w:t xml:space="preserve"> should </w:t>
      </w:r>
      <w:r w:rsidR="00482D98">
        <w:t xml:space="preserve">now </w:t>
      </w:r>
      <w:r w:rsidR="00B66774">
        <w:t xml:space="preserve">consider </w:t>
      </w:r>
      <w:r w:rsidR="00B66774" w:rsidRPr="00FA3FC4">
        <w:rPr>
          <w:kern w:val="2"/>
          <w:lang w:val="en-US" w:eastAsia="da-DK"/>
          <w14:ligatures w14:val="standardContextual"/>
        </w:rPr>
        <w:t xml:space="preserve">3 types of barring (cell, NTN and NTN with CE-for coverage enhancements), </w:t>
      </w:r>
      <w:r w:rsidR="00B66774" w:rsidRPr="00FA3FC4">
        <w:rPr>
          <w:kern w:val="2"/>
          <w:u w:val="single"/>
          <w:lang w:val="en-US" w:eastAsia="da-DK"/>
          <w14:ligatures w14:val="standardContextual"/>
        </w:rPr>
        <w:t>and</w:t>
      </w:r>
      <w:r w:rsidR="00B66774" w:rsidRPr="00FA3FC4">
        <w:rPr>
          <w:kern w:val="2"/>
          <w:lang w:val="en-US" w:eastAsia="da-DK"/>
          <w14:ligatures w14:val="standardContextual"/>
        </w:rPr>
        <w:t xml:space="preserve"> 3 types of UE</w:t>
      </w:r>
      <w:r w:rsidR="00482D98">
        <w:t>s</w:t>
      </w:r>
      <w:r w:rsidR="00B66774" w:rsidRPr="00FA3FC4">
        <w:rPr>
          <w:kern w:val="2"/>
          <w:lang w:val="en-US" w:eastAsia="da-DK"/>
          <w14:ligatures w14:val="standardContextual"/>
        </w:rPr>
        <w:t xml:space="preserve"> (non-NTN, NTN, NTN with CE)</w:t>
      </w:r>
      <w:r w:rsidR="00482D98">
        <w:t>.</w:t>
      </w:r>
      <w:r>
        <w:t xml:space="preserve"> </w:t>
      </w:r>
    </w:p>
    <w:p w14:paraId="24D47391" w14:textId="7C7BD243" w:rsidR="00E64318" w:rsidRDefault="002644AB" w:rsidP="00917DB0">
      <w:pPr>
        <w:pStyle w:val="paragraph"/>
        <w:spacing w:after="120"/>
        <w:jc w:val="both"/>
        <w:textAlignment w:val="baseline"/>
        <w:rPr>
          <w:rFonts w:ascii="Times New Roman" w:hAnsi="Times New Roman" w:cs="Times New Roman"/>
          <w:sz w:val="20"/>
          <w:szCs w:val="20"/>
        </w:rPr>
      </w:pPr>
      <w:r>
        <w:rPr>
          <w:rFonts w:ascii="Times New Roman" w:hAnsi="Times New Roman" w:cs="Times New Roman"/>
          <w:sz w:val="20"/>
          <w:szCs w:val="20"/>
        </w:rPr>
        <w:t>The agreement</w:t>
      </w:r>
      <w:r w:rsidR="009E7DDA">
        <w:rPr>
          <w:rFonts w:ascii="Times New Roman" w:hAnsi="Times New Roman" w:cs="Times New Roman"/>
          <w:sz w:val="20"/>
          <w:szCs w:val="20"/>
        </w:rPr>
        <w:t>s</w:t>
      </w:r>
      <w:r>
        <w:rPr>
          <w:rFonts w:ascii="Times New Roman" w:hAnsi="Times New Roman" w:cs="Times New Roman"/>
          <w:sz w:val="20"/>
          <w:szCs w:val="20"/>
        </w:rPr>
        <w:t xml:space="preserve"> state that the barring bit </w:t>
      </w:r>
      <w:r w:rsidR="00A2759B">
        <w:rPr>
          <w:rFonts w:ascii="Times New Roman" w:hAnsi="Times New Roman" w:cs="Times New Roman"/>
          <w:sz w:val="20"/>
          <w:szCs w:val="20"/>
        </w:rPr>
        <w:t xml:space="preserve">is only applicable if there is a need, which initially was due to the fact that it was uncertain whether the SSB extension solution was adapted within RAN1. </w:t>
      </w:r>
      <w:r w:rsidR="00427977">
        <w:rPr>
          <w:rFonts w:ascii="Times New Roman" w:hAnsi="Times New Roman" w:cs="Times New Roman"/>
          <w:sz w:val="20"/>
          <w:szCs w:val="20"/>
        </w:rPr>
        <w:t xml:space="preserve">This is already understood in RAN1 that with a 160 </w:t>
      </w:r>
      <w:proofErr w:type="spellStart"/>
      <w:r w:rsidR="00427977">
        <w:rPr>
          <w:rFonts w:ascii="Times New Roman" w:hAnsi="Times New Roman" w:cs="Times New Roman"/>
          <w:sz w:val="20"/>
          <w:szCs w:val="20"/>
        </w:rPr>
        <w:t>ms</w:t>
      </w:r>
      <w:proofErr w:type="spellEnd"/>
      <w:r w:rsidR="00427977">
        <w:rPr>
          <w:rFonts w:ascii="Times New Roman" w:hAnsi="Times New Roman" w:cs="Times New Roman"/>
          <w:sz w:val="20"/>
          <w:szCs w:val="20"/>
        </w:rPr>
        <w:t xml:space="preserve"> SSB extension </w:t>
      </w:r>
      <w:r w:rsidR="00BF4AA3">
        <w:rPr>
          <w:rFonts w:ascii="Times New Roman" w:hAnsi="Times New Roman" w:cs="Times New Roman"/>
          <w:sz w:val="20"/>
          <w:szCs w:val="20"/>
        </w:rPr>
        <w:t xml:space="preserve">a UE should able to camp on a cell with SS/PBCH periodicity </w:t>
      </w:r>
      <w:r w:rsidR="00F43E22">
        <w:rPr>
          <w:rFonts w:ascii="Times New Roman" w:hAnsi="Times New Roman" w:cs="Times New Roman"/>
          <w:sz w:val="20"/>
          <w:szCs w:val="20"/>
        </w:rPr>
        <w:t xml:space="preserve">of 160 </w:t>
      </w:r>
      <w:proofErr w:type="spellStart"/>
      <w:r w:rsidR="00F43E22">
        <w:rPr>
          <w:rFonts w:ascii="Times New Roman" w:hAnsi="Times New Roman" w:cs="Times New Roman"/>
          <w:sz w:val="20"/>
          <w:szCs w:val="20"/>
        </w:rPr>
        <w:t>ms</w:t>
      </w:r>
      <w:proofErr w:type="spellEnd"/>
      <w:r w:rsidR="00F43E22">
        <w:rPr>
          <w:rFonts w:ascii="Times New Roman" w:hAnsi="Times New Roman" w:cs="Times New Roman"/>
          <w:sz w:val="20"/>
          <w:szCs w:val="20"/>
        </w:rPr>
        <w:t xml:space="preserve"> as the</w:t>
      </w:r>
      <w:r w:rsidR="00BD785B">
        <w:rPr>
          <w:rFonts w:ascii="Times New Roman" w:hAnsi="Times New Roman" w:cs="Times New Roman"/>
          <w:sz w:val="20"/>
          <w:szCs w:val="20"/>
        </w:rPr>
        <w:t xml:space="preserve"> </w:t>
      </w:r>
      <w:hyperlink r:id="rId22" w:history="1">
        <w:r w:rsidR="00BD785B" w:rsidRPr="00BD785B">
          <w:rPr>
            <w:rStyle w:val="Hyperlink"/>
            <w:rFonts w:ascii="Times New Roman" w:hAnsi="Times New Roman" w:cs="Times New Roman"/>
            <w:sz w:val="20"/>
            <w:szCs w:val="20"/>
          </w:rPr>
          <w:t>FL Summary</w:t>
        </w:r>
      </w:hyperlink>
      <w:r w:rsidR="00F43E22">
        <w:rPr>
          <w:rFonts w:ascii="Times New Roman" w:hAnsi="Times New Roman" w:cs="Times New Roman"/>
          <w:sz w:val="20"/>
          <w:szCs w:val="20"/>
        </w:rPr>
        <w:t xml:space="preserve"> states only larger than 160 </w:t>
      </w:r>
      <w:proofErr w:type="spellStart"/>
      <w:r w:rsidR="00F43E22">
        <w:rPr>
          <w:rFonts w:ascii="Times New Roman" w:hAnsi="Times New Roman" w:cs="Times New Roman"/>
          <w:sz w:val="20"/>
          <w:szCs w:val="20"/>
        </w:rPr>
        <w:t>ms</w:t>
      </w:r>
      <w:proofErr w:type="spellEnd"/>
      <w:r w:rsidR="00F43E22">
        <w:rPr>
          <w:rFonts w:ascii="Times New Roman" w:hAnsi="Times New Roman" w:cs="Times New Roman"/>
          <w:sz w:val="20"/>
          <w:szCs w:val="20"/>
        </w:rPr>
        <w:t xml:space="preserve"> is an issue</w:t>
      </w:r>
      <w:r w:rsidR="00BD785B">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31"/>
      </w:tblGrid>
      <w:tr w:rsidR="00BD785B" w14:paraId="6612079D" w14:textId="77777777" w:rsidTr="00BD785B">
        <w:tc>
          <w:tcPr>
            <w:tcW w:w="9631" w:type="dxa"/>
          </w:tcPr>
          <w:p w14:paraId="15923326" w14:textId="77777777" w:rsidR="005C224B" w:rsidRPr="005C224B" w:rsidRDefault="005C224B" w:rsidP="005C224B">
            <w:pPr>
              <w:pStyle w:val="paragraph"/>
              <w:spacing w:after="120"/>
              <w:jc w:val="both"/>
              <w:textAlignment w:val="baseline"/>
              <w:rPr>
                <w:rFonts w:ascii="Times New Roman" w:hAnsi="Times New Roman" w:cs="Times New Roman"/>
                <w:sz w:val="20"/>
                <w:szCs w:val="20"/>
              </w:rPr>
            </w:pPr>
            <w:r w:rsidRPr="005C224B">
              <w:rPr>
                <w:rFonts w:ascii="Times New Roman" w:hAnsi="Times New Roman" w:cs="Times New Roman"/>
                <w:sz w:val="20"/>
                <w:szCs w:val="20"/>
              </w:rPr>
              <w:t>From Thursday session</w:t>
            </w:r>
          </w:p>
          <w:p w14:paraId="24C108E8" w14:textId="77777777" w:rsidR="005C224B" w:rsidRPr="00FA3FC4" w:rsidRDefault="005C224B" w:rsidP="005C224B">
            <w:pPr>
              <w:pStyle w:val="paragraph"/>
              <w:spacing w:after="120"/>
              <w:jc w:val="both"/>
              <w:textAlignment w:val="baseline"/>
              <w:rPr>
                <w:rFonts w:ascii="Times New Roman" w:hAnsi="Times New Roman" w:cs="Times New Roman"/>
                <w:b/>
                <w:sz w:val="20"/>
                <w:szCs w:val="20"/>
              </w:rPr>
            </w:pPr>
            <w:r w:rsidRPr="00FA3FC4">
              <w:rPr>
                <w:rFonts w:ascii="Times New Roman" w:hAnsi="Times New Roman" w:cs="Times New Roman"/>
                <w:b/>
                <w:sz w:val="20"/>
                <w:szCs w:val="20"/>
              </w:rPr>
              <w:t>Observation</w:t>
            </w:r>
          </w:p>
          <w:p w14:paraId="1C7F666E" w14:textId="77777777" w:rsidR="005C224B" w:rsidRPr="005C224B" w:rsidRDefault="005C224B" w:rsidP="00FA3FC4">
            <w:pPr>
              <w:pStyle w:val="paragraph"/>
              <w:spacing w:before="240" w:beforeAutospacing="0" w:after="0" w:afterAutospacing="0"/>
              <w:jc w:val="both"/>
              <w:textAlignment w:val="baseline"/>
              <w:rPr>
                <w:rFonts w:ascii="Times New Roman" w:hAnsi="Times New Roman" w:cs="Times New Roman"/>
                <w:sz w:val="20"/>
                <w:szCs w:val="20"/>
              </w:rPr>
            </w:pPr>
            <w:r w:rsidRPr="005C224B">
              <w:rPr>
                <w:rFonts w:ascii="Times New Roman" w:hAnsi="Times New Roman" w:cs="Times New Roman"/>
                <w:sz w:val="20"/>
                <w:szCs w:val="20"/>
              </w:rPr>
              <w:t>Backward compatibility for legacy UEs (i.e. Rel-17 and Rel-18 UEs) assuming a default SSB periodicity of 20ms is not guaranteed when SS/PBCH blocks periodicity is larger than 20ms within the cell used for initial frequency scan.</w:t>
            </w:r>
          </w:p>
          <w:p w14:paraId="10960387" w14:textId="5E893BA3" w:rsidR="00BD785B" w:rsidRDefault="005C224B" w:rsidP="00FA3FC4">
            <w:pPr>
              <w:pStyle w:val="paragraph"/>
              <w:spacing w:before="0" w:beforeAutospacing="0" w:after="0" w:afterAutospacing="0"/>
              <w:jc w:val="both"/>
              <w:textAlignment w:val="baseline"/>
              <w:rPr>
                <w:rFonts w:ascii="Times New Roman" w:hAnsi="Times New Roman" w:cs="Times New Roman"/>
                <w:sz w:val="20"/>
                <w:szCs w:val="20"/>
              </w:rPr>
            </w:pPr>
            <w:r w:rsidRPr="00FA3FC4">
              <w:rPr>
                <w:rFonts w:ascii="Times New Roman" w:hAnsi="Times New Roman" w:cs="Times New Roman"/>
                <w:sz w:val="20"/>
                <w:szCs w:val="20"/>
                <w:highlight w:val="yellow"/>
              </w:rPr>
              <w:t xml:space="preserve">Legacy UEs (i.e. Rel-17 and Rel-18 UEs) are not expected to be able to camp on a cell with SS/PBCH blocks periodicity larger than 160 </w:t>
            </w:r>
            <w:proofErr w:type="spellStart"/>
            <w:r w:rsidRPr="00FA3FC4">
              <w:rPr>
                <w:rFonts w:ascii="Times New Roman" w:hAnsi="Times New Roman" w:cs="Times New Roman"/>
                <w:sz w:val="20"/>
                <w:szCs w:val="20"/>
                <w:highlight w:val="yellow"/>
              </w:rPr>
              <w:t>ms.</w:t>
            </w:r>
            <w:proofErr w:type="spellEnd"/>
          </w:p>
        </w:tc>
      </w:tr>
    </w:tbl>
    <w:p w14:paraId="42E3C9E0" w14:textId="7DCA8317" w:rsidR="00E1570B" w:rsidRDefault="00511664" w:rsidP="00FA3FC4">
      <w:pPr>
        <w:spacing w:before="240"/>
        <w:rPr>
          <w:lang w:val="en-US"/>
        </w:rPr>
      </w:pPr>
      <w:r>
        <w:rPr>
          <w:lang w:val="en-US"/>
        </w:rPr>
        <w:t xml:space="preserve">RAN1 agreement here is slightly ambiguous since it states that backwards compatibility is not guaranteed, but that a UE is only not able to camp on a cell with periodicity </w:t>
      </w:r>
      <w:r w:rsidRPr="00511664">
        <w:rPr>
          <w:u w:val="single"/>
          <w:lang w:val="en-US"/>
        </w:rPr>
        <w:t>longer</w:t>
      </w:r>
      <w:r>
        <w:rPr>
          <w:lang w:val="en-US"/>
        </w:rPr>
        <w:t xml:space="preserve"> than 160 </w:t>
      </w:r>
      <w:proofErr w:type="spellStart"/>
      <w:r>
        <w:rPr>
          <w:lang w:val="en-US"/>
        </w:rPr>
        <w:t>ms.</w:t>
      </w:r>
      <w:proofErr w:type="spellEnd"/>
      <w:r>
        <w:rPr>
          <w:lang w:val="en-US"/>
        </w:rPr>
        <w:t xml:space="preserve"> One issue for backwards compatibility is the MIB, as we raise in section 2.1.1, but we are </w:t>
      </w:r>
      <w:r w:rsidR="00AF2478" w:rsidRPr="63C7D12B">
        <w:rPr>
          <w:lang w:val="en-US"/>
        </w:rPr>
        <w:t>of the firm believe that</w:t>
      </w:r>
      <w:r>
        <w:rPr>
          <w:lang w:val="en-US"/>
        </w:rPr>
        <w:t xml:space="preserve"> if a good UE implementation is able to perform a successful initial scan</w:t>
      </w:r>
      <w:r w:rsidR="00AF2478" w:rsidRPr="63C7D12B">
        <w:rPr>
          <w:lang w:val="en-US"/>
        </w:rPr>
        <w:t xml:space="preserve"> it should be allowed </w:t>
      </w:r>
      <w:r>
        <w:rPr>
          <w:lang w:val="en-US"/>
        </w:rPr>
        <w:t>camp best e</w:t>
      </w:r>
      <w:r w:rsidR="00AF2478" w:rsidRPr="63C7D12B">
        <w:rPr>
          <w:lang w:val="en-US"/>
        </w:rPr>
        <w:t>ffort.</w:t>
      </w:r>
    </w:p>
    <w:p w14:paraId="55097946" w14:textId="673129AC" w:rsidR="00511664" w:rsidRPr="00511664" w:rsidRDefault="00511664" w:rsidP="00FA3FC4">
      <w:pPr>
        <w:spacing w:before="240"/>
        <w:rPr>
          <w:b/>
          <w:bCs/>
          <w:lang w:val="en-US"/>
        </w:rPr>
      </w:pPr>
      <w:r w:rsidRPr="00511664">
        <w:rPr>
          <w:b/>
          <w:bCs/>
          <w:lang w:val="en-US"/>
        </w:rPr>
        <w:t xml:space="preserve">Observation 7: A legacy UE may be able to camp on a cell with SS/PBCH blocks periodicity at 160 </w:t>
      </w:r>
      <w:proofErr w:type="spellStart"/>
      <w:r w:rsidRPr="00511664">
        <w:rPr>
          <w:b/>
          <w:bCs/>
          <w:lang w:val="en-US"/>
        </w:rPr>
        <w:t>ms</w:t>
      </w:r>
      <w:proofErr w:type="spellEnd"/>
      <w:r w:rsidRPr="00511664">
        <w:rPr>
          <w:b/>
          <w:bCs/>
          <w:lang w:val="en-US"/>
        </w:rPr>
        <w:t xml:space="preserve"> or below.</w:t>
      </w:r>
    </w:p>
    <w:p w14:paraId="63EC97E1" w14:textId="6B3DDE56" w:rsidR="00511664" w:rsidRPr="00511664" w:rsidRDefault="00511664" w:rsidP="00FA3FC4">
      <w:pPr>
        <w:spacing w:before="240"/>
        <w:rPr>
          <w:b/>
          <w:bCs/>
          <w:lang w:val="en-US"/>
        </w:rPr>
      </w:pPr>
      <w:r w:rsidRPr="00511664">
        <w:rPr>
          <w:b/>
          <w:bCs/>
          <w:lang w:val="en-US"/>
        </w:rPr>
        <w:t>Observation 8: There should be no reason not to allow a UE to camp on a cell it can see.</w:t>
      </w:r>
    </w:p>
    <w:p w14:paraId="27D2A95C" w14:textId="7A02FEDE" w:rsidR="00511664" w:rsidRPr="00511664" w:rsidRDefault="00511664" w:rsidP="00FA3FC4">
      <w:pPr>
        <w:spacing w:before="240"/>
        <w:rPr>
          <w:b/>
          <w:bCs/>
          <w:lang w:val="en-US"/>
        </w:rPr>
      </w:pPr>
      <w:r w:rsidRPr="00511664">
        <w:rPr>
          <w:b/>
          <w:bCs/>
          <w:lang w:val="en-US"/>
        </w:rPr>
        <w:t xml:space="preserve">Proposal </w:t>
      </w:r>
      <w:r>
        <w:rPr>
          <w:b/>
          <w:bCs/>
          <w:lang w:val="en-US"/>
        </w:rPr>
        <w:t>4</w:t>
      </w:r>
      <w:r w:rsidRPr="00511664">
        <w:rPr>
          <w:b/>
          <w:bCs/>
          <w:lang w:val="en-US"/>
        </w:rPr>
        <w:t xml:space="preserve">: RAN2 not to </w:t>
      </w:r>
      <w:proofErr w:type="spellStart"/>
      <w:r w:rsidRPr="00511664">
        <w:rPr>
          <w:b/>
          <w:bCs/>
          <w:lang w:val="en-US"/>
        </w:rPr>
        <w:t>instroduce</w:t>
      </w:r>
      <w:proofErr w:type="spellEnd"/>
      <w:r w:rsidRPr="00511664">
        <w:rPr>
          <w:b/>
          <w:bCs/>
          <w:lang w:val="en-US"/>
        </w:rPr>
        <w:t xml:space="preserve"> barring bits for DL CE.</w:t>
      </w:r>
    </w:p>
    <w:p w14:paraId="69B7B8E6" w14:textId="6065C668" w:rsidR="009339CB" w:rsidRPr="006E13D1" w:rsidRDefault="0033190F" w:rsidP="00637712">
      <w:pPr>
        <w:pStyle w:val="Heading1"/>
      </w:pPr>
      <w:r>
        <w:rPr>
          <w:lang w:val="en-US"/>
        </w:rPr>
        <w:t xml:space="preserve"> </w:t>
      </w:r>
      <w:r w:rsidR="005A13AB">
        <w:t>3</w:t>
      </w:r>
      <w:r w:rsidR="009339CB" w:rsidRPr="006E13D1">
        <w:tab/>
      </w:r>
      <w:r w:rsidR="009339CB">
        <w:t>Conclusion</w:t>
      </w:r>
    </w:p>
    <w:p w14:paraId="6E24B0F4" w14:textId="75855638" w:rsidR="009339CB" w:rsidRDefault="009339CB" w:rsidP="009339CB">
      <w:r>
        <w:t>This document has made the following observations</w:t>
      </w:r>
      <w:r w:rsidR="00906B11">
        <w:t xml:space="preserve"> and proposals</w:t>
      </w:r>
      <w:r>
        <w:t>:</w:t>
      </w:r>
    </w:p>
    <w:p w14:paraId="332A76C6" w14:textId="77777777" w:rsidR="00511664" w:rsidRPr="006D48E8" w:rsidRDefault="00511664" w:rsidP="00511664">
      <w:pPr>
        <w:jc w:val="both"/>
        <w:rPr>
          <w:b/>
          <w:bCs/>
          <w:lang w:val="en-US"/>
        </w:rPr>
      </w:pPr>
      <w:r w:rsidRPr="006D48E8">
        <w:rPr>
          <w:b/>
          <w:bCs/>
          <w:lang w:val="en-US"/>
        </w:rPr>
        <w:t xml:space="preserve">Proposal </w:t>
      </w:r>
      <w:r>
        <w:rPr>
          <w:b/>
          <w:bCs/>
          <w:lang w:val="en-US"/>
        </w:rPr>
        <w:t>1</w:t>
      </w:r>
      <w:r w:rsidRPr="006D48E8">
        <w:rPr>
          <w:b/>
          <w:bCs/>
          <w:lang w:val="en-US"/>
        </w:rPr>
        <w:t>: RAN2 to include in the study the impact on MIB transmission and reception due to the SSB periodicity extension</w:t>
      </w:r>
      <w:r>
        <w:rPr>
          <w:b/>
          <w:bCs/>
          <w:lang w:val="en-US"/>
        </w:rPr>
        <w:t xml:space="preserve"> e.g. allowing MIB periodicity to follow SSB even for periods lower than 160 </w:t>
      </w:r>
      <w:proofErr w:type="spellStart"/>
      <w:r>
        <w:rPr>
          <w:b/>
          <w:bCs/>
          <w:lang w:val="en-US"/>
        </w:rPr>
        <w:t>ms</w:t>
      </w:r>
      <w:proofErr w:type="spellEnd"/>
      <w:r>
        <w:rPr>
          <w:b/>
          <w:bCs/>
          <w:lang w:val="en-US"/>
        </w:rPr>
        <w:t xml:space="preserve">, and to prevent a joint configuration of CORESET multiplexing pattern 1 together with SSB periods longer than 20 </w:t>
      </w:r>
      <w:proofErr w:type="spellStart"/>
      <w:r>
        <w:rPr>
          <w:b/>
          <w:bCs/>
          <w:lang w:val="en-US"/>
        </w:rPr>
        <w:t>ms</w:t>
      </w:r>
      <w:r w:rsidRPr="006D48E8">
        <w:rPr>
          <w:b/>
          <w:bCs/>
          <w:lang w:val="en-US"/>
        </w:rPr>
        <w:t>.</w:t>
      </w:r>
      <w:proofErr w:type="spellEnd"/>
    </w:p>
    <w:p w14:paraId="113B8173" w14:textId="77777777" w:rsidR="00511664" w:rsidRPr="00530547" w:rsidRDefault="00511664" w:rsidP="00511664">
      <w:pPr>
        <w:jc w:val="both"/>
        <w:rPr>
          <w:b/>
          <w:bCs/>
          <w:lang w:val="en-US"/>
        </w:rPr>
      </w:pPr>
      <w:r w:rsidRPr="00530547">
        <w:rPr>
          <w:b/>
          <w:bCs/>
          <w:lang w:val="en-US"/>
        </w:rPr>
        <w:t xml:space="preserve">Observation </w:t>
      </w:r>
      <w:r>
        <w:rPr>
          <w:b/>
          <w:bCs/>
          <w:lang w:val="en-US"/>
        </w:rPr>
        <w:t>1</w:t>
      </w:r>
      <w:r w:rsidRPr="00530547">
        <w:rPr>
          <w:b/>
          <w:bCs/>
          <w:lang w:val="en-US"/>
        </w:rPr>
        <w:t>:</w:t>
      </w:r>
      <w:r>
        <w:rPr>
          <w:b/>
          <w:bCs/>
          <w:lang w:val="en-US"/>
        </w:rPr>
        <w:t xml:space="preserve"> SMTC configuration using the existing number of SMTC windows is not possible.</w:t>
      </w:r>
    </w:p>
    <w:p w14:paraId="362619FF" w14:textId="77777777" w:rsidR="00511664" w:rsidRPr="00530547" w:rsidRDefault="00511664" w:rsidP="00511664">
      <w:pPr>
        <w:jc w:val="both"/>
        <w:rPr>
          <w:b/>
          <w:bCs/>
          <w:lang w:val="en-US"/>
        </w:rPr>
      </w:pPr>
      <w:r w:rsidRPr="00530547">
        <w:rPr>
          <w:b/>
          <w:bCs/>
          <w:lang w:val="en-US"/>
        </w:rPr>
        <w:t xml:space="preserve">Observation </w:t>
      </w:r>
      <w:r>
        <w:rPr>
          <w:b/>
          <w:bCs/>
          <w:lang w:val="en-US"/>
        </w:rPr>
        <w:t>2</w:t>
      </w:r>
      <w:r w:rsidRPr="00530547">
        <w:rPr>
          <w:b/>
          <w:bCs/>
          <w:lang w:val="en-US"/>
        </w:rPr>
        <w:t>: Configuring SMTC windows covering group of SSB measurements will be very energy inefficient.</w:t>
      </w:r>
    </w:p>
    <w:p w14:paraId="598D8BF8" w14:textId="77777777" w:rsidR="00511664" w:rsidRDefault="00511664" w:rsidP="00511664">
      <w:pPr>
        <w:jc w:val="both"/>
        <w:rPr>
          <w:b/>
          <w:bCs/>
          <w:lang w:val="en-US"/>
        </w:rPr>
      </w:pPr>
      <w:r>
        <w:rPr>
          <w:b/>
          <w:bCs/>
          <w:lang w:val="en-US"/>
        </w:rPr>
        <w:t>Proposal</w:t>
      </w:r>
      <w:r w:rsidRPr="00530547">
        <w:rPr>
          <w:b/>
          <w:bCs/>
          <w:lang w:val="en-US"/>
        </w:rPr>
        <w:t xml:space="preserve"> </w:t>
      </w:r>
      <w:r>
        <w:rPr>
          <w:b/>
          <w:bCs/>
          <w:lang w:val="en-US"/>
        </w:rPr>
        <w:t>2: RAN2 to assume that there is no distinct pattern to be configured e.g. for SMTC windows and at least the number of SMTC windows must be extended.</w:t>
      </w:r>
    </w:p>
    <w:p w14:paraId="6FC24325" w14:textId="77777777" w:rsidR="00511664" w:rsidRDefault="00511664" w:rsidP="00511664">
      <w:pPr>
        <w:rPr>
          <w:b/>
          <w:bCs/>
        </w:rPr>
      </w:pPr>
      <w:r w:rsidRPr="00637712">
        <w:rPr>
          <w:b/>
          <w:bCs/>
        </w:rPr>
        <w:t xml:space="preserve">Observation </w:t>
      </w:r>
      <w:r>
        <w:rPr>
          <w:b/>
          <w:bCs/>
        </w:rPr>
        <w:t>3</w:t>
      </w:r>
      <w:r w:rsidRPr="00637712">
        <w:rPr>
          <w:b/>
          <w:bCs/>
        </w:rPr>
        <w:t xml:space="preserve">: </w:t>
      </w:r>
      <w:r>
        <w:rPr>
          <w:b/>
          <w:bCs/>
        </w:rPr>
        <w:t>SMTC window configuration of all possible SSB transmissions of neighbouring cells is energy inefficient.</w:t>
      </w:r>
    </w:p>
    <w:p w14:paraId="48A4437C" w14:textId="77777777" w:rsidR="00511664" w:rsidRDefault="00511664" w:rsidP="00511664">
      <w:pPr>
        <w:rPr>
          <w:b/>
          <w:bCs/>
        </w:rPr>
      </w:pPr>
      <w:r>
        <w:rPr>
          <w:b/>
          <w:bCs/>
        </w:rPr>
        <w:t>Observation</w:t>
      </w:r>
      <w:r w:rsidRPr="00637712">
        <w:rPr>
          <w:b/>
          <w:bCs/>
        </w:rPr>
        <w:t xml:space="preserve"> </w:t>
      </w:r>
      <w:r>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60BDC97B" w14:textId="77777777" w:rsidR="00511664" w:rsidRDefault="00511664" w:rsidP="00511664">
      <w:pPr>
        <w:rPr>
          <w:b/>
          <w:bCs/>
        </w:rPr>
      </w:pPr>
      <w:r>
        <w:rPr>
          <w:b/>
          <w:bCs/>
        </w:rPr>
        <w:t>Observation 5: Location based SMTC configuration provide additional signalling overhead and requires a UE to be aware of the relative location between not only the gNB but also all neighbouring cells.</w:t>
      </w:r>
    </w:p>
    <w:p w14:paraId="58E37AD7" w14:textId="77777777" w:rsidR="00511664" w:rsidRPr="005124BE" w:rsidRDefault="00511664" w:rsidP="00511664">
      <w:pPr>
        <w:rPr>
          <w:b/>
          <w:bCs/>
          <w:lang w:val="en-US"/>
        </w:rPr>
      </w:pPr>
      <w:r w:rsidRPr="005124BE">
        <w:rPr>
          <w:b/>
          <w:bCs/>
        </w:rPr>
        <w:lastRenderedPageBreak/>
        <w:t xml:space="preserve">Observation </w:t>
      </w:r>
      <w:r>
        <w:rPr>
          <w:b/>
          <w:bCs/>
        </w:rPr>
        <w:t>6</w:t>
      </w:r>
      <w:r w:rsidRPr="005124BE">
        <w:rPr>
          <w:b/>
          <w:bCs/>
        </w:rPr>
        <w:t xml:space="preserve">: Optimal SMTC window configuration may be </w:t>
      </w:r>
      <w:r>
        <w:rPr>
          <w:b/>
          <w:bCs/>
        </w:rPr>
        <w:t>dynamic for a given UE if we account not only for SSB transmission but also data transmission.</w:t>
      </w:r>
    </w:p>
    <w:p w14:paraId="19432308" w14:textId="77777777" w:rsidR="00511664" w:rsidRDefault="00511664" w:rsidP="00511664">
      <w:pPr>
        <w:rPr>
          <w:b/>
          <w:bCs/>
          <w:lang w:val="en-US"/>
        </w:rPr>
      </w:pPr>
      <w:r>
        <w:rPr>
          <w:b/>
          <w:bCs/>
          <w:lang w:val="en-US"/>
        </w:rPr>
        <w:t>Proposal 3: RAN2 to study at least four aspects of downlink coverage enhancements</w:t>
      </w:r>
    </w:p>
    <w:p w14:paraId="3FA3B9DB" w14:textId="77777777" w:rsidR="00511664" w:rsidRDefault="00511664" w:rsidP="00511664">
      <w:pPr>
        <w:pStyle w:val="ListParagraph"/>
        <w:numPr>
          <w:ilvl w:val="0"/>
          <w:numId w:val="24"/>
        </w:numPr>
        <w:rPr>
          <w:b/>
          <w:bCs/>
          <w:lang w:val="en-US"/>
        </w:rPr>
      </w:pPr>
      <w:r>
        <w:rPr>
          <w:b/>
          <w:bCs/>
          <w:lang w:val="en-US"/>
        </w:rPr>
        <w:t>Increasing the number and duration of SMTC windows;</w:t>
      </w:r>
    </w:p>
    <w:p w14:paraId="071DD922" w14:textId="77777777" w:rsidR="00511664" w:rsidRPr="005F24E7" w:rsidRDefault="00511664" w:rsidP="00511664">
      <w:pPr>
        <w:pStyle w:val="ListParagraph"/>
        <w:numPr>
          <w:ilvl w:val="0"/>
          <w:numId w:val="24"/>
        </w:numPr>
        <w:rPr>
          <w:b/>
          <w:bCs/>
          <w:lang w:val="en-US"/>
        </w:rPr>
      </w:pPr>
      <w:r>
        <w:rPr>
          <w:b/>
          <w:bCs/>
          <w:lang w:val="en-US"/>
        </w:rPr>
        <w:t>Enabling a</w:t>
      </w:r>
      <w:r w:rsidRPr="001D5D6F">
        <w:rPr>
          <w:b/>
          <w:lang w:val="en-US"/>
        </w:rPr>
        <w:t xml:space="preserve"> UE</w:t>
      </w:r>
      <w:r>
        <w:rPr>
          <w:b/>
          <w:lang w:val="en-US"/>
        </w:rPr>
        <w:t xml:space="preserve"> to</w:t>
      </w:r>
      <w:r w:rsidRPr="001D5D6F">
        <w:rPr>
          <w:b/>
          <w:lang w:val="en-US"/>
        </w:rPr>
        <w:t xml:space="preserve"> scan for ne</w:t>
      </w:r>
      <w:r>
        <w:rPr>
          <w:b/>
          <w:lang w:val="en-US"/>
        </w:rPr>
        <w:t>i</w:t>
      </w:r>
      <w:r w:rsidRPr="001D5D6F">
        <w:rPr>
          <w:b/>
          <w:lang w:val="en-US"/>
        </w:rPr>
        <w:t>ghbor</w:t>
      </w:r>
      <w:r>
        <w:rPr>
          <w:b/>
          <w:lang w:val="en-US"/>
        </w:rPr>
        <w:t>ing cells</w:t>
      </w:r>
      <w:r w:rsidRPr="001D5D6F">
        <w:rPr>
          <w:b/>
          <w:lang w:val="en-US"/>
        </w:rPr>
        <w:t xml:space="preserve"> </w:t>
      </w:r>
      <w:r>
        <w:rPr>
          <w:b/>
          <w:lang w:val="en-US"/>
        </w:rPr>
        <w:t>over a period and autonomous limit the measurements afterwards to the relevant cells based on measurements</w:t>
      </w:r>
    </w:p>
    <w:p w14:paraId="1F1FA746" w14:textId="77777777" w:rsidR="00511664" w:rsidRPr="00D77B6F" w:rsidRDefault="00511664" w:rsidP="00511664">
      <w:pPr>
        <w:pStyle w:val="ListParagraph"/>
        <w:numPr>
          <w:ilvl w:val="0"/>
          <w:numId w:val="24"/>
        </w:numPr>
        <w:rPr>
          <w:b/>
          <w:bCs/>
          <w:lang w:val="en-US"/>
        </w:rPr>
      </w:pPr>
      <w:r>
        <w:rPr>
          <w:b/>
        </w:rPr>
        <w:t>Setting the SSB period to a lower value during mobility events in case of Earth Fixed Cells.</w:t>
      </w:r>
    </w:p>
    <w:p w14:paraId="621715D3" w14:textId="77777777" w:rsidR="00511664" w:rsidRPr="00B51546" w:rsidRDefault="00511664" w:rsidP="00511664">
      <w:pPr>
        <w:spacing w:before="240"/>
        <w:rPr>
          <w:b/>
          <w:bCs/>
          <w:lang w:val="en-US"/>
        </w:rPr>
      </w:pPr>
      <w:r w:rsidRPr="00B51546">
        <w:rPr>
          <w:b/>
          <w:bCs/>
          <w:lang w:val="en-US"/>
        </w:rPr>
        <w:t xml:space="preserve">Observation 7: A legacy UE may be able to camp on a cell with SS/PBCH blocks periodicity at 160 </w:t>
      </w:r>
      <w:proofErr w:type="spellStart"/>
      <w:r w:rsidRPr="00B51546">
        <w:rPr>
          <w:b/>
          <w:bCs/>
          <w:lang w:val="en-US"/>
        </w:rPr>
        <w:t>ms</w:t>
      </w:r>
      <w:proofErr w:type="spellEnd"/>
      <w:r w:rsidRPr="00B51546">
        <w:rPr>
          <w:b/>
          <w:bCs/>
          <w:lang w:val="en-US"/>
        </w:rPr>
        <w:t xml:space="preserve"> or below.</w:t>
      </w:r>
    </w:p>
    <w:p w14:paraId="2AAD23AF" w14:textId="77777777" w:rsidR="00511664" w:rsidRPr="00B51546" w:rsidRDefault="00511664" w:rsidP="00511664">
      <w:pPr>
        <w:spacing w:before="240"/>
        <w:rPr>
          <w:b/>
          <w:bCs/>
          <w:lang w:val="en-US"/>
        </w:rPr>
      </w:pPr>
      <w:r w:rsidRPr="00B51546">
        <w:rPr>
          <w:b/>
          <w:bCs/>
          <w:lang w:val="en-US"/>
        </w:rPr>
        <w:t>Observation 8: There should be no reason not to allow a UE to camp on a cell it can see.</w:t>
      </w:r>
    </w:p>
    <w:p w14:paraId="4F3EB6DB" w14:textId="78A9824F" w:rsidR="00511664" w:rsidRPr="00B51546" w:rsidRDefault="00511664" w:rsidP="00511664">
      <w:pPr>
        <w:spacing w:before="240"/>
        <w:rPr>
          <w:b/>
          <w:bCs/>
          <w:lang w:val="en-US"/>
        </w:rPr>
      </w:pPr>
      <w:r w:rsidRPr="00B51546">
        <w:rPr>
          <w:b/>
          <w:bCs/>
          <w:lang w:val="en-US"/>
        </w:rPr>
        <w:t xml:space="preserve">Proposal </w:t>
      </w:r>
      <w:r>
        <w:rPr>
          <w:b/>
          <w:bCs/>
          <w:lang w:val="en-US"/>
        </w:rPr>
        <w:t>4</w:t>
      </w:r>
      <w:r w:rsidRPr="00B51546">
        <w:rPr>
          <w:b/>
          <w:bCs/>
          <w:lang w:val="en-US"/>
        </w:rPr>
        <w:t xml:space="preserve">: RAN2 not to </w:t>
      </w:r>
      <w:r w:rsidRPr="00B51546">
        <w:rPr>
          <w:b/>
          <w:bCs/>
          <w:lang w:val="en-US"/>
        </w:rPr>
        <w:t>introduce</w:t>
      </w:r>
      <w:r w:rsidRPr="00B51546">
        <w:rPr>
          <w:b/>
          <w:bCs/>
          <w:lang w:val="en-US"/>
        </w:rPr>
        <w:t xml:space="preserve"> barring bits for DL CE.</w:t>
      </w:r>
    </w:p>
    <w:p w14:paraId="5D4652EC" w14:textId="77777777" w:rsidR="00511664" w:rsidRPr="00511664" w:rsidRDefault="00511664" w:rsidP="009339CB">
      <w:pPr>
        <w:rPr>
          <w:lang w:val="en-US"/>
        </w:rPr>
      </w:pPr>
    </w:p>
    <w:p w14:paraId="20DEFB0C" w14:textId="77777777" w:rsidR="003666F2" w:rsidRDefault="003666F2" w:rsidP="009339CB"/>
    <w:p w14:paraId="4D89ECED" w14:textId="77777777" w:rsidR="003666F2" w:rsidRDefault="003666F2" w:rsidP="009339CB"/>
    <w:p w14:paraId="724A9B87" w14:textId="77777777" w:rsidR="003666F2" w:rsidRPr="003666F2" w:rsidRDefault="003666F2" w:rsidP="009339CB">
      <w:pPr>
        <w:rPr>
          <w:lang w:val="en-US"/>
        </w:rPr>
      </w:pPr>
    </w:p>
    <w:p w14:paraId="35F222F4" w14:textId="77777777" w:rsidR="00080512" w:rsidRPr="00906B11" w:rsidRDefault="00080512" w:rsidP="009339CB">
      <w:pPr>
        <w:rPr>
          <w:lang w:val="en-US"/>
        </w:rPr>
      </w:pPr>
    </w:p>
    <w:sectPr w:rsidR="00080512" w:rsidRPr="00906B1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95C5F" w14:textId="77777777" w:rsidR="009D2F22" w:rsidRDefault="009D2F22">
      <w:r>
        <w:separator/>
      </w:r>
    </w:p>
  </w:endnote>
  <w:endnote w:type="continuationSeparator" w:id="0">
    <w:p w14:paraId="7B043D97" w14:textId="77777777" w:rsidR="009D2F22" w:rsidRDefault="009D2F22">
      <w:r>
        <w:continuationSeparator/>
      </w:r>
    </w:p>
  </w:endnote>
  <w:endnote w:type="continuationNotice" w:id="1">
    <w:p w14:paraId="79FEA1E2" w14:textId="77777777" w:rsidR="009D2F22" w:rsidRDefault="009D2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8028" w14:textId="77777777" w:rsidR="009D2F22" w:rsidRDefault="009D2F22">
      <w:r>
        <w:separator/>
      </w:r>
    </w:p>
  </w:footnote>
  <w:footnote w:type="continuationSeparator" w:id="0">
    <w:p w14:paraId="047EF7C2" w14:textId="77777777" w:rsidR="009D2F22" w:rsidRDefault="009D2F22">
      <w:r>
        <w:continuationSeparator/>
      </w:r>
    </w:p>
  </w:footnote>
  <w:footnote w:type="continuationNotice" w:id="1">
    <w:p w14:paraId="3C16A640" w14:textId="77777777" w:rsidR="009D2F22" w:rsidRDefault="009D2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E3F1C"/>
    <w:multiLevelType w:val="hybridMultilevel"/>
    <w:tmpl w:val="AC002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16D38E"/>
    <w:multiLevelType w:val="hybridMultilevel"/>
    <w:tmpl w:val="127EC09E"/>
    <w:lvl w:ilvl="0" w:tplc="E9D4258A">
      <w:start w:val="1"/>
      <w:numFmt w:val="bullet"/>
      <w:lvlText w:val=""/>
      <w:lvlJc w:val="left"/>
      <w:pPr>
        <w:ind w:left="720" w:hanging="360"/>
      </w:pPr>
      <w:rPr>
        <w:rFonts w:ascii="Symbol" w:hAnsi="Symbol" w:hint="default"/>
      </w:rPr>
    </w:lvl>
    <w:lvl w:ilvl="1" w:tplc="6E4A7CA2">
      <w:start w:val="1"/>
      <w:numFmt w:val="bullet"/>
      <w:lvlText w:val="o"/>
      <w:lvlJc w:val="left"/>
      <w:pPr>
        <w:ind w:left="1440" w:hanging="360"/>
      </w:pPr>
      <w:rPr>
        <w:rFonts w:ascii="Courier New" w:hAnsi="Courier New" w:hint="default"/>
      </w:rPr>
    </w:lvl>
    <w:lvl w:ilvl="2" w:tplc="C63EE0E6">
      <w:start w:val="1"/>
      <w:numFmt w:val="bullet"/>
      <w:lvlText w:val=""/>
      <w:lvlJc w:val="left"/>
      <w:pPr>
        <w:ind w:left="2160" w:hanging="360"/>
      </w:pPr>
      <w:rPr>
        <w:rFonts w:ascii="Wingdings" w:hAnsi="Wingdings" w:hint="default"/>
      </w:rPr>
    </w:lvl>
    <w:lvl w:ilvl="3" w:tplc="62BAE4A6">
      <w:start w:val="1"/>
      <w:numFmt w:val="bullet"/>
      <w:lvlText w:val=""/>
      <w:lvlJc w:val="left"/>
      <w:pPr>
        <w:ind w:left="2880" w:hanging="360"/>
      </w:pPr>
      <w:rPr>
        <w:rFonts w:ascii="Symbol" w:hAnsi="Symbol" w:hint="default"/>
      </w:rPr>
    </w:lvl>
    <w:lvl w:ilvl="4" w:tplc="4EC68EC6">
      <w:start w:val="1"/>
      <w:numFmt w:val="bullet"/>
      <w:lvlText w:val="o"/>
      <w:lvlJc w:val="left"/>
      <w:pPr>
        <w:ind w:left="3600" w:hanging="360"/>
      </w:pPr>
      <w:rPr>
        <w:rFonts w:ascii="Courier New" w:hAnsi="Courier New" w:hint="default"/>
      </w:rPr>
    </w:lvl>
    <w:lvl w:ilvl="5" w:tplc="D2244D7E">
      <w:start w:val="1"/>
      <w:numFmt w:val="bullet"/>
      <w:lvlText w:val=""/>
      <w:lvlJc w:val="left"/>
      <w:pPr>
        <w:ind w:left="4320" w:hanging="360"/>
      </w:pPr>
      <w:rPr>
        <w:rFonts w:ascii="Wingdings" w:hAnsi="Wingdings" w:hint="default"/>
      </w:rPr>
    </w:lvl>
    <w:lvl w:ilvl="6" w:tplc="4B4643D2">
      <w:start w:val="1"/>
      <w:numFmt w:val="bullet"/>
      <w:lvlText w:val=""/>
      <w:lvlJc w:val="left"/>
      <w:pPr>
        <w:ind w:left="5040" w:hanging="360"/>
      </w:pPr>
      <w:rPr>
        <w:rFonts w:ascii="Symbol" w:hAnsi="Symbol" w:hint="default"/>
      </w:rPr>
    </w:lvl>
    <w:lvl w:ilvl="7" w:tplc="4626B006">
      <w:start w:val="1"/>
      <w:numFmt w:val="bullet"/>
      <w:lvlText w:val="o"/>
      <w:lvlJc w:val="left"/>
      <w:pPr>
        <w:ind w:left="5760" w:hanging="360"/>
      </w:pPr>
      <w:rPr>
        <w:rFonts w:ascii="Courier New" w:hAnsi="Courier New" w:hint="default"/>
      </w:rPr>
    </w:lvl>
    <w:lvl w:ilvl="8" w:tplc="7A66F9CA">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6A05FE5"/>
    <w:multiLevelType w:val="hybridMultilevel"/>
    <w:tmpl w:val="5130FDAE"/>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E6709B"/>
    <w:multiLevelType w:val="hybridMultilevel"/>
    <w:tmpl w:val="8A5E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2579146">
    <w:abstractNumId w:val="13"/>
  </w:num>
  <w:num w:numId="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2"/>
  </w:num>
  <w:num w:numId="5" w16cid:durableId="199124208">
    <w:abstractNumId w:val="19"/>
  </w:num>
  <w:num w:numId="6" w16cid:durableId="630793192">
    <w:abstractNumId w:val="18"/>
  </w:num>
  <w:num w:numId="7" w16cid:durableId="1154301696">
    <w:abstractNumId w:val="21"/>
  </w:num>
  <w:num w:numId="8" w16cid:durableId="1489399165">
    <w:abstractNumId w:val="22"/>
  </w:num>
  <w:num w:numId="9" w16cid:durableId="1495876256">
    <w:abstractNumId w:val="9"/>
  </w:num>
  <w:num w:numId="10" w16cid:durableId="441074845">
    <w:abstractNumId w:val="7"/>
  </w:num>
  <w:num w:numId="11" w16cid:durableId="431705991">
    <w:abstractNumId w:val="6"/>
  </w:num>
  <w:num w:numId="12" w16cid:durableId="1559823138">
    <w:abstractNumId w:val="5"/>
  </w:num>
  <w:num w:numId="13" w16cid:durableId="1777091386">
    <w:abstractNumId w:val="4"/>
  </w:num>
  <w:num w:numId="14" w16cid:durableId="754859990">
    <w:abstractNumId w:val="8"/>
  </w:num>
  <w:num w:numId="15" w16cid:durableId="685982631">
    <w:abstractNumId w:val="3"/>
  </w:num>
  <w:num w:numId="16" w16cid:durableId="1806268356">
    <w:abstractNumId w:val="2"/>
  </w:num>
  <w:num w:numId="17" w16cid:durableId="1176116058">
    <w:abstractNumId w:val="1"/>
  </w:num>
  <w:num w:numId="18" w16cid:durableId="655106882">
    <w:abstractNumId w:val="0"/>
  </w:num>
  <w:num w:numId="19" w16cid:durableId="340620260">
    <w:abstractNumId w:val="15"/>
  </w:num>
  <w:num w:numId="20" w16cid:durableId="1263688658">
    <w:abstractNumId w:val="16"/>
  </w:num>
  <w:num w:numId="21" w16cid:durableId="600380691">
    <w:abstractNumId w:val="20"/>
  </w:num>
  <w:num w:numId="22" w16cid:durableId="1432239334">
    <w:abstractNumId w:val="26"/>
  </w:num>
  <w:num w:numId="23" w16cid:durableId="1632710328">
    <w:abstractNumId w:val="11"/>
  </w:num>
  <w:num w:numId="24" w16cid:durableId="1918708527">
    <w:abstractNumId w:val="23"/>
  </w:num>
  <w:num w:numId="25" w16cid:durableId="1457216582">
    <w:abstractNumId w:val="14"/>
  </w:num>
  <w:num w:numId="26" w16cid:durableId="889415234">
    <w:abstractNumId w:val="25"/>
    <w:lvlOverride w:ilvl="0">
      <w:startOverride w:val="1"/>
    </w:lvlOverride>
    <w:lvlOverride w:ilvl="1"/>
    <w:lvlOverride w:ilvl="2"/>
    <w:lvlOverride w:ilvl="3"/>
    <w:lvlOverride w:ilvl="4"/>
    <w:lvlOverride w:ilvl="5"/>
    <w:lvlOverride w:ilvl="6"/>
    <w:lvlOverride w:ilvl="7"/>
    <w:lvlOverride w:ilvl="8"/>
  </w:num>
  <w:num w:numId="27" w16cid:durableId="645941482">
    <w:abstractNumId w:val="17"/>
  </w:num>
  <w:num w:numId="28" w16cid:durableId="5490778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68"/>
    <w:rsid w:val="000034A5"/>
    <w:rsid w:val="00006C10"/>
    <w:rsid w:val="00012776"/>
    <w:rsid w:val="000143D1"/>
    <w:rsid w:val="00016557"/>
    <w:rsid w:val="000172AE"/>
    <w:rsid w:val="00017B1C"/>
    <w:rsid w:val="00017B95"/>
    <w:rsid w:val="00023C40"/>
    <w:rsid w:val="0002507D"/>
    <w:rsid w:val="0002598D"/>
    <w:rsid w:val="00030D3F"/>
    <w:rsid w:val="000329E4"/>
    <w:rsid w:val="00033397"/>
    <w:rsid w:val="00033744"/>
    <w:rsid w:val="00040095"/>
    <w:rsid w:val="00044100"/>
    <w:rsid w:val="00046118"/>
    <w:rsid w:val="00050A95"/>
    <w:rsid w:val="00053EAC"/>
    <w:rsid w:val="000630B7"/>
    <w:rsid w:val="00064A33"/>
    <w:rsid w:val="00064DA3"/>
    <w:rsid w:val="00065268"/>
    <w:rsid w:val="00073C9C"/>
    <w:rsid w:val="00076412"/>
    <w:rsid w:val="00080512"/>
    <w:rsid w:val="00080B03"/>
    <w:rsid w:val="000819FC"/>
    <w:rsid w:val="00090468"/>
    <w:rsid w:val="0009194F"/>
    <w:rsid w:val="00092A37"/>
    <w:rsid w:val="00092D74"/>
    <w:rsid w:val="00094568"/>
    <w:rsid w:val="0009577E"/>
    <w:rsid w:val="000A35EC"/>
    <w:rsid w:val="000B5FC2"/>
    <w:rsid w:val="000B65D0"/>
    <w:rsid w:val="000B6D82"/>
    <w:rsid w:val="000B6F7B"/>
    <w:rsid w:val="000B7BCF"/>
    <w:rsid w:val="000C522B"/>
    <w:rsid w:val="000D3DFC"/>
    <w:rsid w:val="000D58AB"/>
    <w:rsid w:val="000E54EF"/>
    <w:rsid w:val="000F1201"/>
    <w:rsid w:val="000F31E7"/>
    <w:rsid w:val="000F3CDB"/>
    <w:rsid w:val="000F7E2C"/>
    <w:rsid w:val="00102ABB"/>
    <w:rsid w:val="00102C5A"/>
    <w:rsid w:val="0010520B"/>
    <w:rsid w:val="0010739E"/>
    <w:rsid w:val="001127E3"/>
    <w:rsid w:val="00112F1A"/>
    <w:rsid w:val="00115A45"/>
    <w:rsid w:val="00123806"/>
    <w:rsid w:val="0012570F"/>
    <w:rsid w:val="0012610D"/>
    <w:rsid w:val="0012687C"/>
    <w:rsid w:val="00134745"/>
    <w:rsid w:val="00141106"/>
    <w:rsid w:val="00141355"/>
    <w:rsid w:val="00145075"/>
    <w:rsid w:val="0015615D"/>
    <w:rsid w:val="001614B2"/>
    <w:rsid w:val="0016366E"/>
    <w:rsid w:val="001660DE"/>
    <w:rsid w:val="00172A84"/>
    <w:rsid w:val="001741A0"/>
    <w:rsid w:val="00175FA0"/>
    <w:rsid w:val="00181621"/>
    <w:rsid w:val="00182D04"/>
    <w:rsid w:val="0018542A"/>
    <w:rsid w:val="001942EB"/>
    <w:rsid w:val="00194CD0"/>
    <w:rsid w:val="001A4ABE"/>
    <w:rsid w:val="001A552C"/>
    <w:rsid w:val="001B49C9"/>
    <w:rsid w:val="001B56AB"/>
    <w:rsid w:val="001B6BA6"/>
    <w:rsid w:val="001C12AD"/>
    <w:rsid w:val="001C1D85"/>
    <w:rsid w:val="001C23F4"/>
    <w:rsid w:val="001C4F79"/>
    <w:rsid w:val="001D166B"/>
    <w:rsid w:val="001D3EC4"/>
    <w:rsid w:val="001D5528"/>
    <w:rsid w:val="001D5C88"/>
    <w:rsid w:val="001D6BEE"/>
    <w:rsid w:val="001F168B"/>
    <w:rsid w:val="001F71A0"/>
    <w:rsid w:val="001F7831"/>
    <w:rsid w:val="002005D8"/>
    <w:rsid w:val="00201AB8"/>
    <w:rsid w:val="00204045"/>
    <w:rsid w:val="00205F3A"/>
    <w:rsid w:val="00206455"/>
    <w:rsid w:val="0020712B"/>
    <w:rsid w:val="002100A2"/>
    <w:rsid w:val="002151BD"/>
    <w:rsid w:val="00216379"/>
    <w:rsid w:val="002168BF"/>
    <w:rsid w:val="00222E39"/>
    <w:rsid w:val="00223450"/>
    <w:rsid w:val="002244FB"/>
    <w:rsid w:val="0022606D"/>
    <w:rsid w:val="00230210"/>
    <w:rsid w:val="00231728"/>
    <w:rsid w:val="00232508"/>
    <w:rsid w:val="002363FE"/>
    <w:rsid w:val="00244513"/>
    <w:rsid w:val="00244A05"/>
    <w:rsid w:val="00245E3E"/>
    <w:rsid w:val="00245E49"/>
    <w:rsid w:val="00250404"/>
    <w:rsid w:val="00251A44"/>
    <w:rsid w:val="00252650"/>
    <w:rsid w:val="00252E5C"/>
    <w:rsid w:val="0025472B"/>
    <w:rsid w:val="00255029"/>
    <w:rsid w:val="00256B74"/>
    <w:rsid w:val="002571A8"/>
    <w:rsid w:val="002610D8"/>
    <w:rsid w:val="002619A8"/>
    <w:rsid w:val="002644AB"/>
    <w:rsid w:val="00272B48"/>
    <w:rsid w:val="002730E2"/>
    <w:rsid w:val="002747EC"/>
    <w:rsid w:val="002812D3"/>
    <w:rsid w:val="0028252F"/>
    <w:rsid w:val="00282EB3"/>
    <w:rsid w:val="002838D6"/>
    <w:rsid w:val="0028526A"/>
    <w:rsid w:val="002855BF"/>
    <w:rsid w:val="00290A7C"/>
    <w:rsid w:val="00291785"/>
    <w:rsid w:val="00291E73"/>
    <w:rsid w:val="00294A70"/>
    <w:rsid w:val="00295BA0"/>
    <w:rsid w:val="002A00B4"/>
    <w:rsid w:val="002A0C24"/>
    <w:rsid w:val="002A4073"/>
    <w:rsid w:val="002A46E4"/>
    <w:rsid w:val="002B2988"/>
    <w:rsid w:val="002B3533"/>
    <w:rsid w:val="002B7DB7"/>
    <w:rsid w:val="002C7636"/>
    <w:rsid w:val="002D1A05"/>
    <w:rsid w:val="002D2FBF"/>
    <w:rsid w:val="002D354B"/>
    <w:rsid w:val="002D7B85"/>
    <w:rsid w:val="002F0D22"/>
    <w:rsid w:val="002F1236"/>
    <w:rsid w:val="002F6831"/>
    <w:rsid w:val="002F6C3F"/>
    <w:rsid w:val="002F74BA"/>
    <w:rsid w:val="00303EB1"/>
    <w:rsid w:val="0030551E"/>
    <w:rsid w:val="00311B17"/>
    <w:rsid w:val="003151AF"/>
    <w:rsid w:val="00316A30"/>
    <w:rsid w:val="003172DC"/>
    <w:rsid w:val="0032559C"/>
    <w:rsid w:val="00325AE3"/>
    <w:rsid w:val="00326069"/>
    <w:rsid w:val="0033190F"/>
    <w:rsid w:val="003344A1"/>
    <w:rsid w:val="0033533E"/>
    <w:rsid w:val="00335784"/>
    <w:rsid w:val="0034759F"/>
    <w:rsid w:val="00353ED5"/>
    <w:rsid w:val="0035462D"/>
    <w:rsid w:val="003612D1"/>
    <w:rsid w:val="0036459E"/>
    <w:rsid w:val="00364B41"/>
    <w:rsid w:val="003654E6"/>
    <w:rsid w:val="003666F2"/>
    <w:rsid w:val="00373D26"/>
    <w:rsid w:val="00374105"/>
    <w:rsid w:val="00380683"/>
    <w:rsid w:val="0038307C"/>
    <w:rsid w:val="00383096"/>
    <w:rsid w:val="00383733"/>
    <w:rsid w:val="003846A9"/>
    <w:rsid w:val="00384937"/>
    <w:rsid w:val="0039346C"/>
    <w:rsid w:val="00394475"/>
    <w:rsid w:val="0039486C"/>
    <w:rsid w:val="00395946"/>
    <w:rsid w:val="003A0710"/>
    <w:rsid w:val="003A41EF"/>
    <w:rsid w:val="003A4ED8"/>
    <w:rsid w:val="003B0873"/>
    <w:rsid w:val="003B2101"/>
    <w:rsid w:val="003B40AD"/>
    <w:rsid w:val="003B67F7"/>
    <w:rsid w:val="003B6FB7"/>
    <w:rsid w:val="003C4E37"/>
    <w:rsid w:val="003D0FD0"/>
    <w:rsid w:val="003D6B42"/>
    <w:rsid w:val="003D7AAB"/>
    <w:rsid w:val="003E16BE"/>
    <w:rsid w:val="003E257A"/>
    <w:rsid w:val="003E76D6"/>
    <w:rsid w:val="003F2A35"/>
    <w:rsid w:val="003F3F44"/>
    <w:rsid w:val="003F4E28"/>
    <w:rsid w:val="003F76B6"/>
    <w:rsid w:val="004006E8"/>
    <w:rsid w:val="00401855"/>
    <w:rsid w:val="004025D3"/>
    <w:rsid w:val="00407632"/>
    <w:rsid w:val="004120EE"/>
    <w:rsid w:val="00415C35"/>
    <w:rsid w:val="00416E75"/>
    <w:rsid w:val="00417409"/>
    <w:rsid w:val="00421ED1"/>
    <w:rsid w:val="00423D39"/>
    <w:rsid w:val="00424FA1"/>
    <w:rsid w:val="00425CBE"/>
    <w:rsid w:val="00427977"/>
    <w:rsid w:val="0043670C"/>
    <w:rsid w:val="0044378E"/>
    <w:rsid w:val="00445AF1"/>
    <w:rsid w:val="00446C38"/>
    <w:rsid w:val="00446C3A"/>
    <w:rsid w:val="004611FE"/>
    <w:rsid w:val="004627C6"/>
    <w:rsid w:val="00465587"/>
    <w:rsid w:val="00465C89"/>
    <w:rsid w:val="00473715"/>
    <w:rsid w:val="00477455"/>
    <w:rsid w:val="004800B4"/>
    <w:rsid w:val="00482D98"/>
    <w:rsid w:val="004A1F7B"/>
    <w:rsid w:val="004B4C4A"/>
    <w:rsid w:val="004C0634"/>
    <w:rsid w:val="004C3AA3"/>
    <w:rsid w:val="004C44D2"/>
    <w:rsid w:val="004C5951"/>
    <w:rsid w:val="004D076D"/>
    <w:rsid w:val="004D3578"/>
    <w:rsid w:val="004D380D"/>
    <w:rsid w:val="004E213A"/>
    <w:rsid w:val="004E45F8"/>
    <w:rsid w:val="004E6E79"/>
    <w:rsid w:val="004E7553"/>
    <w:rsid w:val="004F0391"/>
    <w:rsid w:val="004F2B5C"/>
    <w:rsid w:val="004F3258"/>
    <w:rsid w:val="004F4540"/>
    <w:rsid w:val="004F73A7"/>
    <w:rsid w:val="0050205D"/>
    <w:rsid w:val="00503130"/>
    <w:rsid w:val="00503171"/>
    <w:rsid w:val="00505C81"/>
    <w:rsid w:val="00506C28"/>
    <w:rsid w:val="005114F4"/>
    <w:rsid w:val="00511664"/>
    <w:rsid w:val="005124BE"/>
    <w:rsid w:val="005148A7"/>
    <w:rsid w:val="0051763C"/>
    <w:rsid w:val="00521D68"/>
    <w:rsid w:val="005250EB"/>
    <w:rsid w:val="0052606F"/>
    <w:rsid w:val="00530547"/>
    <w:rsid w:val="00530829"/>
    <w:rsid w:val="005328C8"/>
    <w:rsid w:val="00534DA0"/>
    <w:rsid w:val="0053754C"/>
    <w:rsid w:val="00537809"/>
    <w:rsid w:val="00541A65"/>
    <w:rsid w:val="0054236F"/>
    <w:rsid w:val="00542478"/>
    <w:rsid w:val="005432D9"/>
    <w:rsid w:val="00543E6C"/>
    <w:rsid w:val="00550207"/>
    <w:rsid w:val="00553C03"/>
    <w:rsid w:val="00556F59"/>
    <w:rsid w:val="00565087"/>
    <w:rsid w:val="0056573F"/>
    <w:rsid w:val="0056717A"/>
    <w:rsid w:val="00571279"/>
    <w:rsid w:val="00571F51"/>
    <w:rsid w:val="00573250"/>
    <w:rsid w:val="00575FC5"/>
    <w:rsid w:val="0058091C"/>
    <w:rsid w:val="0058375E"/>
    <w:rsid w:val="00584165"/>
    <w:rsid w:val="00584282"/>
    <w:rsid w:val="0058646B"/>
    <w:rsid w:val="00586D86"/>
    <w:rsid w:val="00592930"/>
    <w:rsid w:val="005A13AB"/>
    <w:rsid w:val="005A1A43"/>
    <w:rsid w:val="005A1BC2"/>
    <w:rsid w:val="005A3A67"/>
    <w:rsid w:val="005A4356"/>
    <w:rsid w:val="005A49C6"/>
    <w:rsid w:val="005A53CB"/>
    <w:rsid w:val="005B6186"/>
    <w:rsid w:val="005B6C1C"/>
    <w:rsid w:val="005C224B"/>
    <w:rsid w:val="005C5E5D"/>
    <w:rsid w:val="005C766E"/>
    <w:rsid w:val="005C79B3"/>
    <w:rsid w:val="005C7CD5"/>
    <w:rsid w:val="005D0F10"/>
    <w:rsid w:val="005E0A0F"/>
    <w:rsid w:val="005E2673"/>
    <w:rsid w:val="005F24E7"/>
    <w:rsid w:val="005F404F"/>
    <w:rsid w:val="005F5135"/>
    <w:rsid w:val="006001B8"/>
    <w:rsid w:val="00606A80"/>
    <w:rsid w:val="006072C3"/>
    <w:rsid w:val="00607DE4"/>
    <w:rsid w:val="00611566"/>
    <w:rsid w:val="006149BA"/>
    <w:rsid w:val="00620E22"/>
    <w:rsid w:val="006300EC"/>
    <w:rsid w:val="00634C22"/>
    <w:rsid w:val="00634DD1"/>
    <w:rsid w:val="00635D08"/>
    <w:rsid w:val="00637712"/>
    <w:rsid w:val="00645014"/>
    <w:rsid w:val="0064542D"/>
    <w:rsid w:val="006454BD"/>
    <w:rsid w:val="00646BC9"/>
    <w:rsid w:val="00646D99"/>
    <w:rsid w:val="006505F0"/>
    <w:rsid w:val="006557D4"/>
    <w:rsid w:val="00656910"/>
    <w:rsid w:val="006574C0"/>
    <w:rsid w:val="0066026D"/>
    <w:rsid w:val="00661F8F"/>
    <w:rsid w:val="00663CFC"/>
    <w:rsid w:val="00665568"/>
    <w:rsid w:val="00670B9D"/>
    <w:rsid w:val="00671EAA"/>
    <w:rsid w:val="00672105"/>
    <w:rsid w:val="00673DAA"/>
    <w:rsid w:val="00677B04"/>
    <w:rsid w:val="00686150"/>
    <w:rsid w:val="00691CA3"/>
    <w:rsid w:val="00693B8E"/>
    <w:rsid w:val="00696821"/>
    <w:rsid w:val="006A2068"/>
    <w:rsid w:val="006A3155"/>
    <w:rsid w:val="006A5377"/>
    <w:rsid w:val="006B00BA"/>
    <w:rsid w:val="006B1422"/>
    <w:rsid w:val="006B4BED"/>
    <w:rsid w:val="006B60F3"/>
    <w:rsid w:val="006C03FB"/>
    <w:rsid w:val="006C66D8"/>
    <w:rsid w:val="006C7E94"/>
    <w:rsid w:val="006D1E24"/>
    <w:rsid w:val="006D35DE"/>
    <w:rsid w:val="006D48E8"/>
    <w:rsid w:val="006E03E0"/>
    <w:rsid w:val="006E07A4"/>
    <w:rsid w:val="006E1057"/>
    <w:rsid w:val="006E1417"/>
    <w:rsid w:val="006E182E"/>
    <w:rsid w:val="006E379C"/>
    <w:rsid w:val="006E62C2"/>
    <w:rsid w:val="006F22EB"/>
    <w:rsid w:val="006F6A2C"/>
    <w:rsid w:val="006F6A5C"/>
    <w:rsid w:val="007037FA"/>
    <w:rsid w:val="00705EFB"/>
    <w:rsid w:val="007069DC"/>
    <w:rsid w:val="007074FA"/>
    <w:rsid w:val="007077C9"/>
    <w:rsid w:val="00710201"/>
    <w:rsid w:val="00711658"/>
    <w:rsid w:val="0072073A"/>
    <w:rsid w:val="00721854"/>
    <w:rsid w:val="007236B8"/>
    <w:rsid w:val="00723B23"/>
    <w:rsid w:val="00725A1A"/>
    <w:rsid w:val="007342B5"/>
    <w:rsid w:val="00734A5B"/>
    <w:rsid w:val="0074367E"/>
    <w:rsid w:val="00744E76"/>
    <w:rsid w:val="0074723A"/>
    <w:rsid w:val="00752214"/>
    <w:rsid w:val="00754B8B"/>
    <w:rsid w:val="00757D40"/>
    <w:rsid w:val="007662B5"/>
    <w:rsid w:val="007746B2"/>
    <w:rsid w:val="00781F0F"/>
    <w:rsid w:val="00784447"/>
    <w:rsid w:val="00784DF2"/>
    <w:rsid w:val="0078727C"/>
    <w:rsid w:val="00787A69"/>
    <w:rsid w:val="00787BD4"/>
    <w:rsid w:val="0079049D"/>
    <w:rsid w:val="00791032"/>
    <w:rsid w:val="0079370A"/>
    <w:rsid w:val="00793DC5"/>
    <w:rsid w:val="00796823"/>
    <w:rsid w:val="007A237C"/>
    <w:rsid w:val="007A2E55"/>
    <w:rsid w:val="007B18D8"/>
    <w:rsid w:val="007B1E8B"/>
    <w:rsid w:val="007B23B4"/>
    <w:rsid w:val="007B400F"/>
    <w:rsid w:val="007C095F"/>
    <w:rsid w:val="007C2DD0"/>
    <w:rsid w:val="007C6ECA"/>
    <w:rsid w:val="007C772E"/>
    <w:rsid w:val="007D00A7"/>
    <w:rsid w:val="007D0CEB"/>
    <w:rsid w:val="007E3F66"/>
    <w:rsid w:val="007E5498"/>
    <w:rsid w:val="007E7792"/>
    <w:rsid w:val="007F2E08"/>
    <w:rsid w:val="007F6CBF"/>
    <w:rsid w:val="007F7E12"/>
    <w:rsid w:val="00800F80"/>
    <w:rsid w:val="0080193F"/>
    <w:rsid w:val="008024FA"/>
    <w:rsid w:val="008028A4"/>
    <w:rsid w:val="008030BB"/>
    <w:rsid w:val="0080571A"/>
    <w:rsid w:val="00813245"/>
    <w:rsid w:val="00820D12"/>
    <w:rsid w:val="0083014F"/>
    <w:rsid w:val="00832489"/>
    <w:rsid w:val="00840DE0"/>
    <w:rsid w:val="00841492"/>
    <w:rsid w:val="00847CD0"/>
    <w:rsid w:val="00851924"/>
    <w:rsid w:val="00852FB9"/>
    <w:rsid w:val="0086024C"/>
    <w:rsid w:val="008607A8"/>
    <w:rsid w:val="00862702"/>
    <w:rsid w:val="00862AD0"/>
    <w:rsid w:val="0086354A"/>
    <w:rsid w:val="0086527B"/>
    <w:rsid w:val="00866D2B"/>
    <w:rsid w:val="008674CF"/>
    <w:rsid w:val="008768CA"/>
    <w:rsid w:val="00877EF9"/>
    <w:rsid w:val="00880559"/>
    <w:rsid w:val="00884C6B"/>
    <w:rsid w:val="00895482"/>
    <w:rsid w:val="008A386E"/>
    <w:rsid w:val="008B4170"/>
    <w:rsid w:val="008B5306"/>
    <w:rsid w:val="008B54E8"/>
    <w:rsid w:val="008B7231"/>
    <w:rsid w:val="008C0184"/>
    <w:rsid w:val="008C2B81"/>
    <w:rsid w:val="008C2E2A"/>
    <w:rsid w:val="008C3057"/>
    <w:rsid w:val="008C3937"/>
    <w:rsid w:val="008C6A89"/>
    <w:rsid w:val="008C7266"/>
    <w:rsid w:val="008D2B7B"/>
    <w:rsid w:val="008D2E4D"/>
    <w:rsid w:val="008D4B09"/>
    <w:rsid w:val="008D4B69"/>
    <w:rsid w:val="008E1D8C"/>
    <w:rsid w:val="008E4540"/>
    <w:rsid w:val="008F396F"/>
    <w:rsid w:val="008F3DCD"/>
    <w:rsid w:val="008F3EFB"/>
    <w:rsid w:val="008F542B"/>
    <w:rsid w:val="0090271F"/>
    <w:rsid w:val="00902DB9"/>
    <w:rsid w:val="0090466A"/>
    <w:rsid w:val="00905E5A"/>
    <w:rsid w:val="00906A26"/>
    <w:rsid w:val="00906B11"/>
    <w:rsid w:val="00914B8E"/>
    <w:rsid w:val="00916032"/>
    <w:rsid w:val="00917DB0"/>
    <w:rsid w:val="00923655"/>
    <w:rsid w:val="009248C6"/>
    <w:rsid w:val="009329E7"/>
    <w:rsid w:val="00932C1E"/>
    <w:rsid w:val="009339CB"/>
    <w:rsid w:val="00935BF1"/>
    <w:rsid w:val="00936071"/>
    <w:rsid w:val="009376CD"/>
    <w:rsid w:val="00940212"/>
    <w:rsid w:val="00942AE0"/>
    <w:rsid w:val="00942EC2"/>
    <w:rsid w:val="009436B9"/>
    <w:rsid w:val="009474CE"/>
    <w:rsid w:val="00950924"/>
    <w:rsid w:val="0095262F"/>
    <w:rsid w:val="00952D0C"/>
    <w:rsid w:val="00960CD7"/>
    <w:rsid w:val="009617A7"/>
    <w:rsid w:val="00961B32"/>
    <w:rsid w:val="00962509"/>
    <w:rsid w:val="0096661E"/>
    <w:rsid w:val="00967317"/>
    <w:rsid w:val="00970DB3"/>
    <w:rsid w:val="00971CCA"/>
    <w:rsid w:val="00972307"/>
    <w:rsid w:val="00973619"/>
    <w:rsid w:val="00974BB0"/>
    <w:rsid w:val="00975BCD"/>
    <w:rsid w:val="0097675F"/>
    <w:rsid w:val="00980507"/>
    <w:rsid w:val="009818A2"/>
    <w:rsid w:val="009837BA"/>
    <w:rsid w:val="00984F2A"/>
    <w:rsid w:val="009861A5"/>
    <w:rsid w:val="00992826"/>
    <w:rsid w:val="009928A9"/>
    <w:rsid w:val="00992AE1"/>
    <w:rsid w:val="00993420"/>
    <w:rsid w:val="00996D15"/>
    <w:rsid w:val="00997C4E"/>
    <w:rsid w:val="009A0751"/>
    <w:rsid w:val="009A0AF3"/>
    <w:rsid w:val="009A4B4D"/>
    <w:rsid w:val="009B07CD"/>
    <w:rsid w:val="009C19E9"/>
    <w:rsid w:val="009C385C"/>
    <w:rsid w:val="009C41BB"/>
    <w:rsid w:val="009C5524"/>
    <w:rsid w:val="009C7063"/>
    <w:rsid w:val="009D2ABB"/>
    <w:rsid w:val="009D2F22"/>
    <w:rsid w:val="009D74A6"/>
    <w:rsid w:val="009E04D9"/>
    <w:rsid w:val="009E0E87"/>
    <w:rsid w:val="009E16D6"/>
    <w:rsid w:val="009E2EE3"/>
    <w:rsid w:val="009E58E5"/>
    <w:rsid w:val="009E693A"/>
    <w:rsid w:val="009E7DDA"/>
    <w:rsid w:val="009F1AAA"/>
    <w:rsid w:val="009F54C0"/>
    <w:rsid w:val="009F580E"/>
    <w:rsid w:val="00A10F02"/>
    <w:rsid w:val="00A11871"/>
    <w:rsid w:val="00A1243E"/>
    <w:rsid w:val="00A1522A"/>
    <w:rsid w:val="00A17176"/>
    <w:rsid w:val="00A1764B"/>
    <w:rsid w:val="00A204CA"/>
    <w:rsid w:val="00A209D6"/>
    <w:rsid w:val="00A22738"/>
    <w:rsid w:val="00A22CF2"/>
    <w:rsid w:val="00A23CC5"/>
    <w:rsid w:val="00A2552A"/>
    <w:rsid w:val="00A2759B"/>
    <w:rsid w:val="00A3040D"/>
    <w:rsid w:val="00A31F74"/>
    <w:rsid w:val="00A320DA"/>
    <w:rsid w:val="00A36F5F"/>
    <w:rsid w:val="00A430EC"/>
    <w:rsid w:val="00A46B01"/>
    <w:rsid w:val="00A509AE"/>
    <w:rsid w:val="00A53724"/>
    <w:rsid w:val="00A53BCF"/>
    <w:rsid w:val="00A54B2B"/>
    <w:rsid w:val="00A55370"/>
    <w:rsid w:val="00A55D64"/>
    <w:rsid w:val="00A57D8C"/>
    <w:rsid w:val="00A601C5"/>
    <w:rsid w:val="00A64617"/>
    <w:rsid w:val="00A6742D"/>
    <w:rsid w:val="00A703B6"/>
    <w:rsid w:val="00A725B1"/>
    <w:rsid w:val="00A74150"/>
    <w:rsid w:val="00A7663E"/>
    <w:rsid w:val="00A77556"/>
    <w:rsid w:val="00A77F9D"/>
    <w:rsid w:val="00A82346"/>
    <w:rsid w:val="00A84C7B"/>
    <w:rsid w:val="00A91664"/>
    <w:rsid w:val="00A95B66"/>
    <w:rsid w:val="00A9671C"/>
    <w:rsid w:val="00AA1553"/>
    <w:rsid w:val="00AA369A"/>
    <w:rsid w:val="00AA5FDF"/>
    <w:rsid w:val="00AB1288"/>
    <w:rsid w:val="00AB1429"/>
    <w:rsid w:val="00AC0403"/>
    <w:rsid w:val="00AC1106"/>
    <w:rsid w:val="00AC1527"/>
    <w:rsid w:val="00AC6938"/>
    <w:rsid w:val="00AD7E7C"/>
    <w:rsid w:val="00AE24F6"/>
    <w:rsid w:val="00AE31DA"/>
    <w:rsid w:val="00AE3CDC"/>
    <w:rsid w:val="00AE60C6"/>
    <w:rsid w:val="00AF2478"/>
    <w:rsid w:val="00AF451A"/>
    <w:rsid w:val="00B00443"/>
    <w:rsid w:val="00B00966"/>
    <w:rsid w:val="00B01E84"/>
    <w:rsid w:val="00B05380"/>
    <w:rsid w:val="00B05962"/>
    <w:rsid w:val="00B05BB1"/>
    <w:rsid w:val="00B07378"/>
    <w:rsid w:val="00B12056"/>
    <w:rsid w:val="00B127B2"/>
    <w:rsid w:val="00B13083"/>
    <w:rsid w:val="00B15449"/>
    <w:rsid w:val="00B16C2F"/>
    <w:rsid w:val="00B222C8"/>
    <w:rsid w:val="00B22339"/>
    <w:rsid w:val="00B2527B"/>
    <w:rsid w:val="00B27303"/>
    <w:rsid w:val="00B32A65"/>
    <w:rsid w:val="00B33E75"/>
    <w:rsid w:val="00B3606F"/>
    <w:rsid w:val="00B367CA"/>
    <w:rsid w:val="00B36FF0"/>
    <w:rsid w:val="00B37114"/>
    <w:rsid w:val="00B3787C"/>
    <w:rsid w:val="00B40DD3"/>
    <w:rsid w:val="00B447E7"/>
    <w:rsid w:val="00B46003"/>
    <w:rsid w:val="00B47FD1"/>
    <w:rsid w:val="00B516BB"/>
    <w:rsid w:val="00B5751D"/>
    <w:rsid w:val="00B60293"/>
    <w:rsid w:val="00B61905"/>
    <w:rsid w:val="00B61AEF"/>
    <w:rsid w:val="00B646C9"/>
    <w:rsid w:val="00B66774"/>
    <w:rsid w:val="00B669E9"/>
    <w:rsid w:val="00B732E2"/>
    <w:rsid w:val="00B7538C"/>
    <w:rsid w:val="00B803CD"/>
    <w:rsid w:val="00B80793"/>
    <w:rsid w:val="00B84DB2"/>
    <w:rsid w:val="00B93F5B"/>
    <w:rsid w:val="00B95F83"/>
    <w:rsid w:val="00B96DE5"/>
    <w:rsid w:val="00BA0E39"/>
    <w:rsid w:val="00BA5EBA"/>
    <w:rsid w:val="00BA784D"/>
    <w:rsid w:val="00BB4087"/>
    <w:rsid w:val="00BB681F"/>
    <w:rsid w:val="00BC1452"/>
    <w:rsid w:val="00BC3555"/>
    <w:rsid w:val="00BC38A1"/>
    <w:rsid w:val="00BC3A6C"/>
    <w:rsid w:val="00BC6B00"/>
    <w:rsid w:val="00BD3FCF"/>
    <w:rsid w:val="00BD4AFA"/>
    <w:rsid w:val="00BD785B"/>
    <w:rsid w:val="00BE1371"/>
    <w:rsid w:val="00BF159E"/>
    <w:rsid w:val="00BF1C57"/>
    <w:rsid w:val="00BF2CEB"/>
    <w:rsid w:val="00BF4AA3"/>
    <w:rsid w:val="00C01602"/>
    <w:rsid w:val="00C0427A"/>
    <w:rsid w:val="00C12B51"/>
    <w:rsid w:val="00C24650"/>
    <w:rsid w:val="00C25465"/>
    <w:rsid w:val="00C267CC"/>
    <w:rsid w:val="00C31806"/>
    <w:rsid w:val="00C33079"/>
    <w:rsid w:val="00C354B5"/>
    <w:rsid w:val="00C37D8B"/>
    <w:rsid w:val="00C40133"/>
    <w:rsid w:val="00C430EF"/>
    <w:rsid w:val="00C46057"/>
    <w:rsid w:val="00C46486"/>
    <w:rsid w:val="00C46A2D"/>
    <w:rsid w:val="00C52DF6"/>
    <w:rsid w:val="00C55A12"/>
    <w:rsid w:val="00C57ED7"/>
    <w:rsid w:val="00C639CC"/>
    <w:rsid w:val="00C6553E"/>
    <w:rsid w:val="00C73A3E"/>
    <w:rsid w:val="00C74EF6"/>
    <w:rsid w:val="00C76950"/>
    <w:rsid w:val="00C831BB"/>
    <w:rsid w:val="00C83A13"/>
    <w:rsid w:val="00C86F10"/>
    <w:rsid w:val="00C9068C"/>
    <w:rsid w:val="00C91CB9"/>
    <w:rsid w:val="00C92967"/>
    <w:rsid w:val="00C93C6E"/>
    <w:rsid w:val="00C94171"/>
    <w:rsid w:val="00CA0087"/>
    <w:rsid w:val="00CA2186"/>
    <w:rsid w:val="00CA3D0C"/>
    <w:rsid w:val="00CA4A0E"/>
    <w:rsid w:val="00CA654B"/>
    <w:rsid w:val="00CB01DD"/>
    <w:rsid w:val="00CB384C"/>
    <w:rsid w:val="00CB48A8"/>
    <w:rsid w:val="00CB72B8"/>
    <w:rsid w:val="00CC0B00"/>
    <w:rsid w:val="00CD0BA8"/>
    <w:rsid w:val="00CD0FA4"/>
    <w:rsid w:val="00CD2142"/>
    <w:rsid w:val="00CD3354"/>
    <w:rsid w:val="00CD34F7"/>
    <w:rsid w:val="00CD37C9"/>
    <w:rsid w:val="00CD4C7B"/>
    <w:rsid w:val="00CD58FE"/>
    <w:rsid w:val="00CD7EEF"/>
    <w:rsid w:val="00CE0FFF"/>
    <w:rsid w:val="00CE64A1"/>
    <w:rsid w:val="00CE67AD"/>
    <w:rsid w:val="00CE6F4D"/>
    <w:rsid w:val="00CE779A"/>
    <w:rsid w:val="00CF0D2A"/>
    <w:rsid w:val="00CF0FA5"/>
    <w:rsid w:val="00CF3606"/>
    <w:rsid w:val="00CF3887"/>
    <w:rsid w:val="00CF448F"/>
    <w:rsid w:val="00CF74F5"/>
    <w:rsid w:val="00D02E67"/>
    <w:rsid w:val="00D0339F"/>
    <w:rsid w:val="00D10D7B"/>
    <w:rsid w:val="00D1692B"/>
    <w:rsid w:val="00D17E0C"/>
    <w:rsid w:val="00D2602E"/>
    <w:rsid w:val="00D33BE3"/>
    <w:rsid w:val="00D349FC"/>
    <w:rsid w:val="00D35247"/>
    <w:rsid w:val="00D3792D"/>
    <w:rsid w:val="00D40BCA"/>
    <w:rsid w:val="00D479F5"/>
    <w:rsid w:val="00D50236"/>
    <w:rsid w:val="00D536FF"/>
    <w:rsid w:val="00D5459E"/>
    <w:rsid w:val="00D54820"/>
    <w:rsid w:val="00D54A19"/>
    <w:rsid w:val="00D55E47"/>
    <w:rsid w:val="00D62E19"/>
    <w:rsid w:val="00D66B9A"/>
    <w:rsid w:val="00D67178"/>
    <w:rsid w:val="00D67CD1"/>
    <w:rsid w:val="00D67EAD"/>
    <w:rsid w:val="00D7007F"/>
    <w:rsid w:val="00D7307F"/>
    <w:rsid w:val="00D738D6"/>
    <w:rsid w:val="00D73988"/>
    <w:rsid w:val="00D74CD8"/>
    <w:rsid w:val="00D77B6F"/>
    <w:rsid w:val="00D80795"/>
    <w:rsid w:val="00D83559"/>
    <w:rsid w:val="00D84537"/>
    <w:rsid w:val="00D854BE"/>
    <w:rsid w:val="00D87E00"/>
    <w:rsid w:val="00D9134D"/>
    <w:rsid w:val="00D92146"/>
    <w:rsid w:val="00D957BC"/>
    <w:rsid w:val="00D96D11"/>
    <w:rsid w:val="00DA0310"/>
    <w:rsid w:val="00DA0FD8"/>
    <w:rsid w:val="00DA7A03"/>
    <w:rsid w:val="00DB0DB8"/>
    <w:rsid w:val="00DB1818"/>
    <w:rsid w:val="00DB2E33"/>
    <w:rsid w:val="00DC11BD"/>
    <w:rsid w:val="00DC2FED"/>
    <w:rsid w:val="00DC309B"/>
    <w:rsid w:val="00DC4DA2"/>
    <w:rsid w:val="00DC5261"/>
    <w:rsid w:val="00DD1D73"/>
    <w:rsid w:val="00DD4932"/>
    <w:rsid w:val="00DD68AA"/>
    <w:rsid w:val="00DE25D2"/>
    <w:rsid w:val="00DF1EC8"/>
    <w:rsid w:val="00DF7C20"/>
    <w:rsid w:val="00E01ED8"/>
    <w:rsid w:val="00E038FB"/>
    <w:rsid w:val="00E063EC"/>
    <w:rsid w:val="00E06D3C"/>
    <w:rsid w:val="00E072B0"/>
    <w:rsid w:val="00E1063F"/>
    <w:rsid w:val="00E1570B"/>
    <w:rsid w:val="00E201DC"/>
    <w:rsid w:val="00E238FD"/>
    <w:rsid w:val="00E2581F"/>
    <w:rsid w:val="00E27069"/>
    <w:rsid w:val="00E379D8"/>
    <w:rsid w:val="00E400E3"/>
    <w:rsid w:val="00E40364"/>
    <w:rsid w:val="00E45232"/>
    <w:rsid w:val="00E45570"/>
    <w:rsid w:val="00E45A3E"/>
    <w:rsid w:val="00E46775"/>
    <w:rsid w:val="00E46C08"/>
    <w:rsid w:val="00E471CF"/>
    <w:rsid w:val="00E50B61"/>
    <w:rsid w:val="00E55424"/>
    <w:rsid w:val="00E62751"/>
    <w:rsid w:val="00E62835"/>
    <w:rsid w:val="00E64318"/>
    <w:rsid w:val="00E6480E"/>
    <w:rsid w:val="00E771A9"/>
    <w:rsid w:val="00E77645"/>
    <w:rsid w:val="00E81C87"/>
    <w:rsid w:val="00E82D99"/>
    <w:rsid w:val="00E832AF"/>
    <w:rsid w:val="00E83697"/>
    <w:rsid w:val="00E859B6"/>
    <w:rsid w:val="00E86544"/>
    <w:rsid w:val="00E91E17"/>
    <w:rsid w:val="00E91FB8"/>
    <w:rsid w:val="00E97500"/>
    <w:rsid w:val="00E97F03"/>
    <w:rsid w:val="00EA3FDC"/>
    <w:rsid w:val="00EA66C9"/>
    <w:rsid w:val="00EB1ACE"/>
    <w:rsid w:val="00EB3FDF"/>
    <w:rsid w:val="00EB5D32"/>
    <w:rsid w:val="00EC38D6"/>
    <w:rsid w:val="00EC4A25"/>
    <w:rsid w:val="00ED3545"/>
    <w:rsid w:val="00ED3DDF"/>
    <w:rsid w:val="00EE2074"/>
    <w:rsid w:val="00EE2E00"/>
    <w:rsid w:val="00EE3FD7"/>
    <w:rsid w:val="00EE512C"/>
    <w:rsid w:val="00EE6E57"/>
    <w:rsid w:val="00EE72BD"/>
    <w:rsid w:val="00EF2B6F"/>
    <w:rsid w:val="00EF496C"/>
    <w:rsid w:val="00EF612C"/>
    <w:rsid w:val="00EF72BD"/>
    <w:rsid w:val="00EF76F2"/>
    <w:rsid w:val="00EF79E2"/>
    <w:rsid w:val="00EF7E75"/>
    <w:rsid w:val="00F025A2"/>
    <w:rsid w:val="00F036E9"/>
    <w:rsid w:val="00F0382F"/>
    <w:rsid w:val="00F05BD2"/>
    <w:rsid w:val="00F07388"/>
    <w:rsid w:val="00F104A3"/>
    <w:rsid w:val="00F110FA"/>
    <w:rsid w:val="00F12E24"/>
    <w:rsid w:val="00F13851"/>
    <w:rsid w:val="00F14902"/>
    <w:rsid w:val="00F15ED5"/>
    <w:rsid w:val="00F2026E"/>
    <w:rsid w:val="00F2210A"/>
    <w:rsid w:val="00F23EFF"/>
    <w:rsid w:val="00F25E8F"/>
    <w:rsid w:val="00F31372"/>
    <w:rsid w:val="00F37743"/>
    <w:rsid w:val="00F40C2F"/>
    <w:rsid w:val="00F42493"/>
    <w:rsid w:val="00F42DB2"/>
    <w:rsid w:val="00F43E22"/>
    <w:rsid w:val="00F54681"/>
    <w:rsid w:val="00F54A3D"/>
    <w:rsid w:val="00F54CB0"/>
    <w:rsid w:val="00F579CD"/>
    <w:rsid w:val="00F61597"/>
    <w:rsid w:val="00F653B8"/>
    <w:rsid w:val="00F66243"/>
    <w:rsid w:val="00F710ED"/>
    <w:rsid w:val="00F71B89"/>
    <w:rsid w:val="00F7353C"/>
    <w:rsid w:val="00F73959"/>
    <w:rsid w:val="00F757B9"/>
    <w:rsid w:val="00F76F8F"/>
    <w:rsid w:val="00F80681"/>
    <w:rsid w:val="00F87048"/>
    <w:rsid w:val="00F87257"/>
    <w:rsid w:val="00F87CAC"/>
    <w:rsid w:val="00F937AA"/>
    <w:rsid w:val="00F941DF"/>
    <w:rsid w:val="00FA0D7B"/>
    <w:rsid w:val="00FA10D2"/>
    <w:rsid w:val="00FA1266"/>
    <w:rsid w:val="00FA1B7E"/>
    <w:rsid w:val="00FA3FC4"/>
    <w:rsid w:val="00FB36FA"/>
    <w:rsid w:val="00FC1192"/>
    <w:rsid w:val="00FC4C5B"/>
    <w:rsid w:val="00FD1070"/>
    <w:rsid w:val="00FD1166"/>
    <w:rsid w:val="00FD3DCB"/>
    <w:rsid w:val="00FD496E"/>
    <w:rsid w:val="00FD7E39"/>
    <w:rsid w:val="00FE106D"/>
    <w:rsid w:val="00FE251B"/>
    <w:rsid w:val="00FE412D"/>
    <w:rsid w:val="00FE457D"/>
    <w:rsid w:val="00FF44DE"/>
    <w:rsid w:val="00FF5387"/>
    <w:rsid w:val="18878617"/>
    <w:rsid w:val="28E0DE30"/>
    <w:rsid w:val="41A807D3"/>
    <w:rsid w:val="51FEBEC5"/>
    <w:rsid w:val="54372A58"/>
    <w:rsid w:val="58F808BA"/>
    <w:rsid w:val="61774A1E"/>
    <w:rsid w:val="63C7D12B"/>
    <w:rsid w:val="73E8F373"/>
    <w:rsid w:val="7C28E98B"/>
    <w:rsid w:val="7C9386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5354A68-E22D-424D-BC6D-3A773AD3A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10"/>
      </w:numPr>
      <w:contextualSpacing/>
    </w:pPr>
  </w:style>
  <w:style w:type="paragraph" w:styleId="ListBullet3">
    <w:name w:val="List Bullet 3"/>
    <w:basedOn w:val="Normal"/>
    <w:rsid w:val="003F76B6"/>
    <w:pPr>
      <w:numPr>
        <w:numId w:val="11"/>
      </w:numPr>
      <w:contextualSpacing/>
    </w:pPr>
  </w:style>
  <w:style w:type="paragraph" w:styleId="ListBullet4">
    <w:name w:val="List Bullet 4"/>
    <w:basedOn w:val="Normal"/>
    <w:rsid w:val="003F76B6"/>
    <w:pPr>
      <w:numPr>
        <w:numId w:val="12"/>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4"/>
      </w:numPr>
      <w:contextualSpacing/>
    </w:pPr>
  </w:style>
  <w:style w:type="paragraph" w:styleId="ListNumber2">
    <w:name w:val="List Number 2"/>
    <w:basedOn w:val="Normal"/>
    <w:rsid w:val="003F76B6"/>
    <w:pPr>
      <w:numPr>
        <w:numId w:val="15"/>
      </w:numPr>
      <w:contextualSpacing/>
    </w:pPr>
  </w:style>
  <w:style w:type="paragraph" w:styleId="ListNumber3">
    <w:name w:val="List Number 3"/>
    <w:basedOn w:val="Normal"/>
    <w:rsid w:val="003F76B6"/>
    <w:pPr>
      <w:numPr>
        <w:numId w:val="16"/>
      </w:numPr>
      <w:contextualSpacing/>
    </w:pPr>
  </w:style>
  <w:style w:type="paragraph" w:styleId="ListNumber4">
    <w:name w:val="List Number 4"/>
    <w:basedOn w:val="Normal"/>
    <w:rsid w:val="003F76B6"/>
    <w:pPr>
      <w:numPr>
        <w:numId w:val="17"/>
      </w:numPr>
      <w:contextualSpacing/>
    </w:pPr>
  </w:style>
  <w:style w:type="paragraph" w:styleId="ListNumber5">
    <w:name w:val="List Number 5"/>
    <w:basedOn w:val="Normal"/>
    <w:rsid w:val="003F76B6"/>
    <w:pPr>
      <w:numPr>
        <w:numId w:val="18"/>
      </w:numPr>
      <w:contextualSpacing/>
    </w:pPr>
  </w:style>
  <w:style w:type="paragraph" w:styleId="ListParagraph">
    <w:name w:val="List Paragraph"/>
    <w:aliases w:val="Bullets,-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A67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列出段落 Char,リスト段落 Char,?? ?? Char,????? Char,???? Char,Lista1 Char,列出段落1 Char,中等深浅网格 1 - 着色 21 Char,¥ê¥¹¥È¶ÎÂä Char,¥¡¡¡¡ì¬º¥¹¥È¶ÎÂä Char,ÁÐ³ö¶ÎÂä Char,列表段落1 Char,—ño’i—Ž Char,Lettre d'introduction Char"/>
    <w:link w:val="ListParagraph"/>
    <w:uiPriority w:val="34"/>
    <w:qFormat/>
    <w:rsid w:val="00D7307F"/>
    <w:rPr>
      <w:lang w:eastAsia="en-US"/>
    </w:rPr>
  </w:style>
  <w:style w:type="character" w:styleId="CommentReference">
    <w:name w:val="annotation reference"/>
    <w:rsid w:val="00D7307F"/>
    <w:rPr>
      <w:sz w:val="16"/>
    </w:rPr>
  </w:style>
  <w:style w:type="character" w:customStyle="1" w:styleId="CaptionChar1">
    <w:name w:val="Caption Char1"/>
    <w:aliases w:val="cap Char1,cap Char Char,Caption Char Char,Caption Char1 Char Char,cap Char Char1 Char,Caption Char Char1 Char Char,cap Char2 Char,题注 Char"/>
    <w:link w:val="Caption"/>
    <w:rsid w:val="00D7307F"/>
    <w:rPr>
      <w:i/>
      <w:iCs/>
      <w:color w:val="44546A" w:themeColor="text2"/>
      <w:sz w:val="18"/>
      <w:szCs w:val="18"/>
      <w:lang w:eastAsia="en-US"/>
    </w:rPr>
  </w:style>
  <w:style w:type="character" w:styleId="Mention">
    <w:name w:val="Mention"/>
    <w:basedOn w:val="DefaultParagraphFont"/>
    <w:uiPriority w:val="99"/>
    <w:unhideWhenUsed/>
    <w:rsid w:val="00D7307F"/>
    <w:rPr>
      <w:color w:val="2B579A"/>
      <w:shd w:val="clear" w:color="auto" w:fill="E1DFDD"/>
    </w:rPr>
  </w:style>
  <w:style w:type="character" w:customStyle="1" w:styleId="eop">
    <w:name w:val="eop"/>
    <w:basedOn w:val="DefaultParagraphFont"/>
    <w:rsid w:val="00D7307F"/>
  </w:style>
  <w:style w:type="paragraph" w:customStyle="1" w:styleId="paragraph">
    <w:name w:val="paragraph"/>
    <w:basedOn w:val="Normal"/>
    <w:rsid w:val="00D7307F"/>
    <w:pPr>
      <w:spacing w:before="100" w:beforeAutospacing="1" w:after="100" w:afterAutospacing="1" w:line="259" w:lineRule="auto"/>
    </w:pPr>
    <w:rPr>
      <w:rFonts w:asciiTheme="minorHAnsi" w:hAnsiTheme="minorHAnsi" w:cstheme="minorBidi"/>
      <w:kern w:val="2"/>
      <w:sz w:val="24"/>
      <w:szCs w:val="24"/>
      <w:lang w:val="en-US" w:eastAsia="da-DK"/>
      <w14:ligatures w14:val="standardContextual"/>
    </w:rPr>
  </w:style>
  <w:style w:type="character" w:customStyle="1" w:styleId="normaltextrun">
    <w:name w:val="normaltextrun"/>
    <w:basedOn w:val="DefaultParagraphFont"/>
    <w:rsid w:val="00D7307F"/>
  </w:style>
  <w:style w:type="paragraph" w:styleId="Revision">
    <w:name w:val="Revision"/>
    <w:hidden/>
    <w:uiPriority w:val="99"/>
    <w:semiHidden/>
    <w:rsid w:val="00521D68"/>
    <w:rPr>
      <w:lang w:eastAsia="en-US"/>
    </w:rPr>
  </w:style>
  <w:style w:type="paragraph" w:customStyle="1" w:styleId="Doc-title">
    <w:name w:val="Doc-title"/>
    <w:basedOn w:val="Normal"/>
    <w:next w:val="Doc-text2"/>
    <w:link w:val="Doc-titleChar"/>
    <w:qFormat/>
    <w:rsid w:val="008030BB"/>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8030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030BB"/>
    <w:rPr>
      <w:rFonts w:ascii="Arial" w:eastAsia="MS Mincho" w:hAnsi="Arial"/>
      <w:szCs w:val="24"/>
    </w:rPr>
  </w:style>
  <w:style w:type="character" w:customStyle="1" w:styleId="Doc-titleChar">
    <w:name w:val="Doc-title Char"/>
    <w:link w:val="Doc-title"/>
    <w:qFormat/>
    <w:rsid w:val="008030BB"/>
    <w:rPr>
      <w:rFonts w:ascii="Arial" w:eastAsia="MS Mincho" w:hAnsi="Arial"/>
      <w:szCs w:val="24"/>
    </w:rPr>
  </w:style>
  <w:style w:type="paragraph" w:customStyle="1" w:styleId="Comments">
    <w:name w:val="Comments"/>
    <w:basedOn w:val="Normal"/>
    <w:link w:val="CommentsChar"/>
    <w:qFormat/>
    <w:rsid w:val="008030BB"/>
    <w:pPr>
      <w:spacing w:before="40" w:after="0"/>
    </w:pPr>
    <w:rPr>
      <w:rFonts w:ascii="Arial" w:eastAsia="MS Mincho" w:hAnsi="Arial"/>
      <w:i/>
      <w:sz w:val="18"/>
      <w:szCs w:val="24"/>
      <w:lang w:eastAsia="en-GB"/>
    </w:rPr>
  </w:style>
  <w:style w:type="character" w:customStyle="1" w:styleId="CommentsChar">
    <w:name w:val="Comments Char"/>
    <w:link w:val="Comments"/>
    <w:qFormat/>
    <w:rsid w:val="008030BB"/>
    <w:rPr>
      <w:rFonts w:ascii="Arial" w:eastAsia="MS Mincho" w:hAnsi="Arial"/>
      <w:i/>
      <w:sz w:val="18"/>
      <w:szCs w:val="24"/>
    </w:rPr>
  </w:style>
  <w:style w:type="paragraph" w:customStyle="1" w:styleId="Agreement">
    <w:name w:val="Agreement"/>
    <w:basedOn w:val="Normal"/>
    <w:next w:val="Doc-text2"/>
    <w:qFormat/>
    <w:rsid w:val="008030BB"/>
    <w:pPr>
      <w:numPr>
        <w:numId w:val="28"/>
      </w:numPr>
      <w:spacing w:before="60" w:after="0"/>
    </w:pPr>
    <w:rPr>
      <w:rFonts w:ascii="Arial" w:eastAsia="MS Mincho" w:hAnsi="Arial"/>
      <w:b/>
      <w:szCs w:val="24"/>
      <w:lang w:eastAsia="en-GB"/>
    </w:rPr>
  </w:style>
  <w:style w:type="character" w:styleId="FollowedHyperlink">
    <w:name w:val="FollowedHyperlink"/>
    <w:basedOn w:val="DefaultParagraphFont"/>
    <w:rsid w:val="00C831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4324">
      <w:bodyDiv w:val="1"/>
      <w:marLeft w:val="0"/>
      <w:marRight w:val="0"/>
      <w:marTop w:val="0"/>
      <w:marBottom w:val="0"/>
      <w:divBdr>
        <w:top w:val="none" w:sz="0" w:space="0" w:color="auto"/>
        <w:left w:val="none" w:sz="0" w:space="0" w:color="auto"/>
        <w:bottom w:val="none" w:sz="0" w:space="0" w:color="auto"/>
        <w:right w:val="none" w:sz="0" w:space="0" w:color="auto"/>
      </w:divBdr>
    </w:div>
    <w:div w:id="78985960">
      <w:bodyDiv w:val="1"/>
      <w:marLeft w:val="0"/>
      <w:marRight w:val="0"/>
      <w:marTop w:val="0"/>
      <w:marBottom w:val="0"/>
      <w:divBdr>
        <w:top w:val="none" w:sz="0" w:space="0" w:color="auto"/>
        <w:left w:val="none" w:sz="0" w:space="0" w:color="auto"/>
        <w:bottom w:val="none" w:sz="0" w:space="0" w:color="auto"/>
        <w:right w:val="none" w:sz="0" w:space="0" w:color="auto"/>
      </w:divBdr>
    </w:div>
    <w:div w:id="237787835">
      <w:bodyDiv w:val="1"/>
      <w:marLeft w:val="0"/>
      <w:marRight w:val="0"/>
      <w:marTop w:val="0"/>
      <w:marBottom w:val="0"/>
      <w:divBdr>
        <w:top w:val="none" w:sz="0" w:space="0" w:color="auto"/>
        <w:left w:val="none" w:sz="0" w:space="0" w:color="auto"/>
        <w:bottom w:val="none" w:sz="0" w:space="0" w:color="auto"/>
        <w:right w:val="none" w:sz="0" w:space="0" w:color="auto"/>
      </w:divBdr>
    </w:div>
    <w:div w:id="247271421">
      <w:bodyDiv w:val="1"/>
      <w:marLeft w:val="0"/>
      <w:marRight w:val="0"/>
      <w:marTop w:val="0"/>
      <w:marBottom w:val="0"/>
      <w:divBdr>
        <w:top w:val="none" w:sz="0" w:space="0" w:color="auto"/>
        <w:left w:val="none" w:sz="0" w:space="0" w:color="auto"/>
        <w:bottom w:val="none" w:sz="0" w:space="0" w:color="auto"/>
        <w:right w:val="none" w:sz="0" w:space="0" w:color="auto"/>
      </w:divBdr>
    </w:div>
    <w:div w:id="297614843">
      <w:bodyDiv w:val="1"/>
      <w:marLeft w:val="0"/>
      <w:marRight w:val="0"/>
      <w:marTop w:val="0"/>
      <w:marBottom w:val="0"/>
      <w:divBdr>
        <w:top w:val="none" w:sz="0" w:space="0" w:color="auto"/>
        <w:left w:val="none" w:sz="0" w:space="0" w:color="auto"/>
        <w:bottom w:val="none" w:sz="0" w:space="0" w:color="auto"/>
        <w:right w:val="none" w:sz="0" w:space="0" w:color="auto"/>
      </w:divBdr>
    </w:div>
    <w:div w:id="333841125">
      <w:bodyDiv w:val="1"/>
      <w:marLeft w:val="0"/>
      <w:marRight w:val="0"/>
      <w:marTop w:val="0"/>
      <w:marBottom w:val="0"/>
      <w:divBdr>
        <w:top w:val="none" w:sz="0" w:space="0" w:color="auto"/>
        <w:left w:val="none" w:sz="0" w:space="0" w:color="auto"/>
        <w:bottom w:val="none" w:sz="0" w:space="0" w:color="auto"/>
        <w:right w:val="none" w:sz="0" w:space="0" w:color="auto"/>
      </w:divBdr>
    </w:div>
    <w:div w:id="375618364">
      <w:bodyDiv w:val="1"/>
      <w:marLeft w:val="0"/>
      <w:marRight w:val="0"/>
      <w:marTop w:val="0"/>
      <w:marBottom w:val="0"/>
      <w:divBdr>
        <w:top w:val="none" w:sz="0" w:space="0" w:color="auto"/>
        <w:left w:val="none" w:sz="0" w:space="0" w:color="auto"/>
        <w:bottom w:val="none" w:sz="0" w:space="0" w:color="auto"/>
        <w:right w:val="none" w:sz="0" w:space="0" w:color="auto"/>
      </w:divBdr>
    </w:div>
    <w:div w:id="438184575">
      <w:bodyDiv w:val="1"/>
      <w:marLeft w:val="0"/>
      <w:marRight w:val="0"/>
      <w:marTop w:val="0"/>
      <w:marBottom w:val="0"/>
      <w:divBdr>
        <w:top w:val="none" w:sz="0" w:space="0" w:color="auto"/>
        <w:left w:val="none" w:sz="0" w:space="0" w:color="auto"/>
        <w:bottom w:val="none" w:sz="0" w:space="0" w:color="auto"/>
        <w:right w:val="none" w:sz="0" w:space="0" w:color="auto"/>
      </w:divBdr>
    </w:div>
    <w:div w:id="517233306">
      <w:bodyDiv w:val="1"/>
      <w:marLeft w:val="0"/>
      <w:marRight w:val="0"/>
      <w:marTop w:val="0"/>
      <w:marBottom w:val="0"/>
      <w:divBdr>
        <w:top w:val="none" w:sz="0" w:space="0" w:color="auto"/>
        <w:left w:val="none" w:sz="0" w:space="0" w:color="auto"/>
        <w:bottom w:val="none" w:sz="0" w:space="0" w:color="auto"/>
        <w:right w:val="none" w:sz="0" w:space="0" w:color="auto"/>
      </w:divBdr>
    </w:div>
    <w:div w:id="553587837">
      <w:bodyDiv w:val="1"/>
      <w:marLeft w:val="0"/>
      <w:marRight w:val="0"/>
      <w:marTop w:val="0"/>
      <w:marBottom w:val="0"/>
      <w:divBdr>
        <w:top w:val="none" w:sz="0" w:space="0" w:color="auto"/>
        <w:left w:val="none" w:sz="0" w:space="0" w:color="auto"/>
        <w:bottom w:val="none" w:sz="0" w:space="0" w:color="auto"/>
        <w:right w:val="none" w:sz="0" w:space="0" w:color="auto"/>
      </w:divBdr>
    </w:div>
    <w:div w:id="564145529">
      <w:bodyDiv w:val="1"/>
      <w:marLeft w:val="0"/>
      <w:marRight w:val="0"/>
      <w:marTop w:val="0"/>
      <w:marBottom w:val="0"/>
      <w:divBdr>
        <w:top w:val="none" w:sz="0" w:space="0" w:color="auto"/>
        <w:left w:val="none" w:sz="0" w:space="0" w:color="auto"/>
        <w:bottom w:val="none" w:sz="0" w:space="0" w:color="auto"/>
        <w:right w:val="none" w:sz="0" w:space="0" w:color="auto"/>
      </w:divBdr>
    </w:div>
    <w:div w:id="633144606">
      <w:bodyDiv w:val="1"/>
      <w:marLeft w:val="0"/>
      <w:marRight w:val="0"/>
      <w:marTop w:val="0"/>
      <w:marBottom w:val="0"/>
      <w:divBdr>
        <w:top w:val="none" w:sz="0" w:space="0" w:color="auto"/>
        <w:left w:val="none" w:sz="0" w:space="0" w:color="auto"/>
        <w:bottom w:val="none" w:sz="0" w:space="0" w:color="auto"/>
        <w:right w:val="none" w:sz="0" w:space="0" w:color="auto"/>
      </w:divBdr>
    </w:div>
    <w:div w:id="702942131">
      <w:bodyDiv w:val="1"/>
      <w:marLeft w:val="0"/>
      <w:marRight w:val="0"/>
      <w:marTop w:val="0"/>
      <w:marBottom w:val="0"/>
      <w:divBdr>
        <w:top w:val="none" w:sz="0" w:space="0" w:color="auto"/>
        <w:left w:val="none" w:sz="0" w:space="0" w:color="auto"/>
        <w:bottom w:val="none" w:sz="0" w:space="0" w:color="auto"/>
        <w:right w:val="none" w:sz="0" w:space="0" w:color="auto"/>
      </w:divBdr>
    </w:div>
    <w:div w:id="712727674">
      <w:bodyDiv w:val="1"/>
      <w:marLeft w:val="0"/>
      <w:marRight w:val="0"/>
      <w:marTop w:val="0"/>
      <w:marBottom w:val="0"/>
      <w:divBdr>
        <w:top w:val="none" w:sz="0" w:space="0" w:color="auto"/>
        <w:left w:val="none" w:sz="0" w:space="0" w:color="auto"/>
        <w:bottom w:val="none" w:sz="0" w:space="0" w:color="auto"/>
        <w:right w:val="none" w:sz="0" w:space="0" w:color="auto"/>
      </w:divBdr>
    </w:div>
    <w:div w:id="7207870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9792051">
      <w:bodyDiv w:val="1"/>
      <w:marLeft w:val="0"/>
      <w:marRight w:val="0"/>
      <w:marTop w:val="0"/>
      <w:marBottom w:val="0"/>
      <w:divBdr>
        <w:top w:val="none" w:sz="0" w:space="0" w:color="auto"/>
        <w:left w:val="none" w:sz="0" w:space="0" w:color="auto"/>
        <w:bottom w:val="none" w:sz="0" w:space="0" w:color="auto"/>
        <w:right w:val="none" w:sz="0" w:space="0" w:color="auto"/>
      </w:divBdr>
    </w:div>
    <w:div w:id="109590300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1371521">
      <w:bodyDiv w:val="1"/>
      <w:marLeft w:val="0"/>
      <w:marRight w:val="0"/>
      <w:marTop w:val="0"/>
      <w:marBottom w:val="0"/>
      <w:divBdr>
        <w:top w:val="none" w:sz="0" w:space="0" w:color="auto"/>
        <w:left w:val="none" w:sz="0" w:space="0" w:color="auto"/>
        <w:bottom w:val="none" w:sz="0" w:space="0" w:color="auto"/>
        <w:right w:val="none" w:sz="0" w:space="0" w:color="auto"/>
      </w:divBdr>
    </w:div>
    <w:div w:id="1554928027">
      <w:bodyDiv w:val="1"/>
      <w:marLeft w:val="0"/>
      <w:marRight w:val="0"/>
      <w:marTop w:val="0"/>
      <w:marBottom w:val="0"/>
      <w:divBdr>
        <w:top w:val="none" w:sz="0" w:space="0" w:color="auto"/>
        <w:left w:val="none" w:sz="0" w:space="0" w:color="auto"/>
        <w:bottom w:val="none" w:sz="0" w:space="0" w:color="auto"/>
        <w:right w:val="none" w:sz="0" w:space="0" w:color="auto"/>
      </w:divBdr>
    </w:div>
    <w:div w:id="1560479133">
      <w:bodyDiv w:val="1"/>
      <w:marLeft w:val="0"/>
      <w:marRight w:val="0"/>
      <w:marTop w:val="0"/>
      <w:marBottom w:val="0"/>
      <w:divBdr>
        <w:top w:val="none" w:sz="0" w:space="0" w:color="auto"/>
        <w:left w:val="none" w:sz="0" w:space="0" w:color="auto"/>
        <w:bottom w:val="none" w:sz="0" w:space="0" w:color="auto"/>
        <w:right w:val="none" w:sz="0" w:space="0" w:color="auto"/>
      </w:divBdr>
    </w:div>
    <w:div w:id="1616910084">
      <w:bodyDiv w:val="1"/>
      <w:marLeft w:val="0"/>
      <w:marRight w:val="0"/>
      <w:marTop w:val="0"/>
      <w:marBottom w:val="0"/>
      <w:divBdr>
        <w:top w:val="none" w:sz="0" w:space="0" w:color="auto"/>
        <w:left w:val="none" w:sz="0" w:space="0" w:color="auto"/>
        <w:bottom w:val="none" w:sz="0" w:space="0" w:color="auto"/>
        <w:right w:val="none" w:sz="0" w:space="0" w:color="auto"/>
      </w:divBdr>
    </w:div>
    <w:div w:id="1628512124">
      <w:bodyDiv w:val="1"/>
      <w:marLeft w:val="0"/>
      <w:marRight w:val="0"/>
      <w:marTop w:val="0"/>
      <w:marBottom w:val="0"/>
      <w:divBdr>
        <w:top w:val="none" w:sz="0" w:space="0" w:color="auto"/>
        <w:left w:val="none" w:sz="0" w:space="0" w:color="auto"/>
        <w:bottom w:val="none" w:sz="0" w:space="0" w:color="auto"/>
        <w:right w:val="none" w:sz="0" w:space="0" w:color="auto"/>
      </w:divBdr>
    </w:div>
    <w:div w:id="1713460927">
      <w:bodyDiv w:val="1"/>
      <w:marLeft w:val="0"/>
      <w:marRight w:val="0"/>
      <w:marTop w:val="0"/>
      <w:marBottom w:val="0"/>
      <w:divBdr>
        <w:top w:val="none" w:sz="0" w:space="0" w:color="auto"/>
        <w:left w:val="none" w:sz="0" w:space="0" w:color="auto"/>
        <w:bottom w:val="none" w:sz="0" w:space="0" w:color="auto"/>
        <w:right w:val="none" w:sz="0" w:space="0" w:color="auto"/>
      </w:divBdr>
    </w:div>
    <w:div w:id="2084255300">
      <w:bodyDiv w:val="1"/>
      <w:marLeft w:val="0"/>
      <w:marRight w:val="0"/>
      <w:marTop w:val="0"/>
      <w:marBottom w:val="0"/>
      <w:divBdr>
        <w:top w:val="none" w:sz="0" w:space="0" w:color="auto"/>
        <w:left w:val="none" w:sz="0" w:space="0" w:color="auto"/>
        <w:bottom w:val="none" w:sz="0" w:space="0" w:color="auto"/>
        <w:right w:val="none" w:sz="0" w:space="0" w:color="auto"/>
      </w:divBdr>
    </w:div>
    <w:div w:id="2118064628">
      <w:bodyDiv w:val="1"/>
      <w:marLeft w:val="0"/>
      <w:marRight w:val="0"/>
      <w:marTop w:val="0"/>
      <w:marBottom w:val="0"/>
      <w:divBdr>
        <w:top w:val="none" w:sz="0" w:space="0" w:color="auto"/>
        <w:left w:val="none" w:sz="0" w:space="0" w:color="auto"/>
        <w:bottom w:val="none" w:sz="0" w:space="0" w:color="auto"/>
        <w:right w:val="none" w:sz="0" w:space="0" w:color="auto"/>
      </w:divBdr>
    </w:div>
    <w:div w:id="2135321421">
      <w:bodyDiv w:val="1"/>
      <w:marLeft w:val="0"/>
      <w:marRight w:val="0"/>
      <w:marTop w:val="0"/>
      <w:marBottom w:val="0"/>
      <w:divBdr>
        <w:top w:val="none" w:sz="0" w:space="0" w:color="auto"/>
        <w:left w:val="none" w:sz="0" w:space="0" w:color="auto"/>
        <w:bottom w:val="none" w:sz="0" w:space="0" w:color="auto"/>
        <w:right w:val="none" w:sz="0" w:space="0" w:color="auto"/>
      </w:divBdr>
    </w:div>
    <w:div w:id="213720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Docs/RP-243300.zip" TargetMode="External"/><Relationship Id="rId18" Type="http://schemas.openxmlformats.org/officeDocument/2006/relationships/hyperlink" Target="https://www.3gpp.org/ftp/Specs/archive/38_series/38.306/38306-i30.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2_RL2/TSGR2_128/Report/Draft_RAN2_128_Meeting_Report_v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8/Docs/R2-2408970.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28/Docs/R2-2410804.zip" TargetMode="External"/><Relationship Id="rId20" Type="http://schemas.openxmlformats.org/officeDocument/2006/relationships/hyperlink" Target="https://www.3gpp.org/ftp/TSG_RAN/WG2_RL2/TSGR2_127bis/Report/R2-240950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meetings_3gpp_sync/ran/Docs/RP-243300.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Docs/RP-243300.zip" TargetMode="External"/><Relationship Id="rId22" Type="http://schemas.openxmlformats.org/officeDocument/2006/relationships/hyperlink" Target="https://www.3gpp.org/ftp/tsg_ran/wg1_rl1/TSGR1_119/Docs/R1-2409436.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RBI5PAMIO524-1616901215-37055</_dlc_DocId>
    <_dlc_DocIdUrl xmlns="71c5aaf6-e6ce-465b-b873-5148d2a4c105">
      <Url>https://nokia.sharepoint.com/sites/gxp/_layouts/15/DocIdRedir.aspx?ID=RBI5PAMIO524-1616901215-37055</Url>
      <Description>RBI5PAMIO524-1616901215-37055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5501F2B-0398-4D78-977E-3A3340E4DCDF}">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3290</Words>
  <Characters>18757</Characters>
  <Application>Microsoft Office Word</Application>
  <DocSecurity>0</DocSecurity>
  <Lines>156</Lines>
  <Paragraphs>44</Paragraphs>
  <ScaleCrop>false</ScaleCrop>
  <Manager/>
  <Company>Nokia</Company>
  <LinksUpToDate>false</LinksUpToDate>
  <CharactersWithSpaces>22003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301</cp:revision>
  <dcterms:created xsi:type="dcterms:W3CDTF">2016-08-14T10:53:00Z</dcterms:created>
  <dcterms:modified xsi:type="dcterms:W3CDTF">2025-02-07T08:39:00Z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6293c1ca-b929-40fc-8d80-bf56a7a5f26f</vt:lpwstr>
  </property>
</Properties>
</file>